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both"/>
        <w:textAlignment w:val="auto"/>
        <w:rPr>
          <w:rFonts w:hint="eastAsia" w:ascii="黑体" w:hAnsi="黑体" w:eastAsia="黑体" w:cs="黑体"/>
          <w:spacing w:val="6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6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both"/>
        <w:textAlignment w:val="auto"/>
        <w:rPr>
          <w:rFonts w:hint="eastAsia" w:ascii="黑体" w:hAnsi="黑体" w:eastAsia="黑体" w:cs="黑体"/>
          <w:spacing w:val="6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  <w:t>云南省政府性融资担保机构名单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576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val="en-US" w:eastAsia="zh-CN"/>
              </w:rPr>
              <w:t>政府性融资担保机构名称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云南省融资担保有限责任公司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云南省农业融资担保有限公司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昆明市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昆明市创业创新融资担保有限责任公司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昭通市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昭通市昭信融资担保有限责任公司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曲靖市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曲靖市投融资担保有限责任公司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楚雄州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楚雄州融资担保有限责任公司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玉溪市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玉溪市中小企业融资担保有限责任公司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红河州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红河红金融资担保有限公司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文山州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文山州融资担保有限责任公司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普洱市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普洱市融资担保有限责任公司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西双版纳州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西双版纳州融资担保有限责任公司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大理州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大理州融资担保有限责任公司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保山市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保山市同源融资担保有限公司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德宏州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德宏州融资担保有限责任公司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丽江市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丽江市融资担保有限公司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怒江州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怒江州融资担保有限责任公司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迪庆州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迪庆惠润融资担保有限公司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临沧市</w:t>
            </w:r>
          </w:p>
        </w:tc>
        <w:tc>
          <w:tcPr>
            <w:tcW w:w="4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vertAlign w:val="baseline"/>
                <w:lang w:val="en-US" w:eastAsia="zh-CN"/>
              </w:rPr>
              <w:t>临沧市融资担保有限责任公司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0" w:line="178" w:lineRule="auto"/>
      <w:jc w:val="both"/>
      <w:rPr>
        <w:rFonts w:ascii="Calibri" w:hAnsi="Calibri" w:eastAsia="宋体" w:cs="Times New Roman"/>
        <w:bCs/>
        <w:color w:val="000000"/>
        <w:kern w:val="2"/>
        <w:sz w:val="34"/>
        <w:szCs w:val="34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B3F9B39"/>
    <w:rsid w:val="14EF51BD"/>
    <w:rsid w:val="199D62EE"/>
    <w:rsid w:val="26EDFF63"/>
    <w:rsid w:val="2EC652FC"/>
    <w:rsid w:val="37E67708"/>
    <w:rsid w:val="3AFFDB79"/>
    <w:rsid w:val="3CFBCEDB"/>
    <w:rsid w:val="3DD3213C"/>
    <w:rsid w:val="3F3BBC5E"/>
    <w:rsid w:val="3F77E284"/>
    <w:rsid w:val="3F9E35F7"/>
    <w:rsid w:val="514A452D"/>
    <w:rsid w:val="53374CB6"/>
    <w:rsid w:val="55631CB2"/>
    <w:rsid w:val="57FE257A"/>
    <w:rsid w:val="5DB7950C"/>
    <w:rsid w:val="5EFEF8A6"/>
    <w:rsid w:val="67FDB530"/>
    <w:rsid w:val="6B2D6B0E"/>
    <w:rsid w:val="703D20DE"/>
    <w:rsid w:val="733F4CFE"/>
    <w:rsid w:val="73DAF8C0"/>
    <w:rsid w:val="77AF3A82"/>
    <w:rsid w:val="77FC78C7"/>
    <w:rsid w:val="77FFFA52"/>
    <w:rsid w:val="78FE4E76"/>
    <w:rsid w:val="7BEFC282"/>
    <w:rsid w:val="7CB7B65D"/>
    <w:rsid w:val="7CFF5146"/>
    <w:rsid w:val="7D379862"/>
    <w:rsid w:val="7E3717B6"/>
    <w:rsid w:val="7FBDBCE7"/>
    <w:rsid w:val="7FD1902E"/>
    <w:rsid w:val="7FFFF9FC"/>
    <w:rsid w:val="85DF80B4"/>
    <w:rsid w:val="97AF8B5E"/>
    <w:rsid w:val="9B9B733A"/>
    <w:rsid w:val="AAFF0418"/>
    <w:rsid w:val="B7DF61DC"/>
    <w:rsid w:val="BF350E3C"/>
    <w:rsid w:val="BF997066"/>
    <w:rsid w:val="D5EFEF08"/>
    <w:rsid w:val="DE6E31AC"/>
    <w:rsid w:val="DFFFA619"/>
    <w:rsid w:val="EF7728C6"/>
    <w:rsid w:val="EF7C8101"/>
    <w:rsid w:val="F7BFDC1B"/>
    <w:rsid w:val="F7F34242"/>
    <w:rsid w:val="FB3F9B39"/>
    <w:rsid w:val="FD7F0A66"/>
    <w:rsid w:val="FDE703CC"/>
    <w:rsid w:val="FF5EA110"/>
    <w:rsid w:val="FFBF1577"/>
    <w:rsid w:val="FFCB95A1"/>
    <w:rsid w:val="FFEF9D32"/>
    <w:rsid w:val="FFFFC682"/>
    <w:rsid w:val="FFFFD8B0"/>
    <w:rsid w:val="FFFFF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仿宋_GB2312" w:hAnsi="仿宋_GB2312" w:eastAsia="仿宋_GB2312" w:cs="Times New Roman"/>
      <w:snapToGrid w:val="0"/>
      <w:kern w:val="6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bCs/>
      <w:color w:val="000000"/>
      <w:kern w:val="2"/>
      <w:sz w:val="18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2023-11-23T10:16:00Z</dcterms:created>
  <dc:creator>王晓婷</dc:creator>
  <cp:lastModifiedBy>甘勇</cp:lastModifiedBy>
  <dcterms:modified xsi:type="dcterms:W3CDTF">2025-08-29T09:08:24Z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