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color w:val="auto"/>
          <w:sz w:val="24"/>
          <w:szCs w:val="36"/>
          <w:highlight w:val="none"/>
        </w:rPr>
      </w:pPr>
    </w:p>
    <w:p>
      <w:pPr>
        <w:spacing w:line="360" w:lineRule="auto"/>
        <w:rPr>
          <w:b/>
          <w:bCs/>
          <w:color w:val="auto"/>
          <w:sz w:val="24"/>
          <w:szCs w:val="36"/>
          <w:highlight w:val="none"/>
        </w:rPr>
      </w:pPr>
    </w:p>
    <w:p>
      <w:pPr>
        <w:autoSpaceDE w:val="0"/>
        <w:autoSpaceDN w:val="0"/>
        <w:adjustRightInd w:val="0"/>
        <w:jc w:val="center"/>
        <w:rPr>
          <w:rFonts w:hint="eastAsia" w:ascii="楷体_GB2312" w:hAnsi="Courier New" w:eastAsia="楷体_GB2312" w:cs="Courier New"/>
          <w:bCs/>
          <w:color w:val="auto"/>
          <w:sz w:val="48"/>
          <w:szCs w:val="48"/>
          <w:highlight w:val="none"/>
        </w:rPr>
      </w:pPr>
      <w:r>
        <w:rPr>
          <w:rFonts w:hint="eastAsia" w:ascii="楷体_GB2312" w:hAnsi="Courier New" w:eastAsia="楷体_GB2312" w:cs="Courier New"/>
          <w:bCs/>
          <w:color w:val="auto"/>
          <w:sz w:val="48"/>
          <w:szCs w:val="48"/>
          <w:highlight w:val="none"/>
        </w:rPr>
        <w:t>云南省国有金融资本控股集团有限公司</w:t>
      </w:r>
    </w:p>
    <w:p>
      <w:pPr>
        <w:autoSpaceDE w:val="0"/>
        <w:autoSpaceDN w:val="0"/>
        <w:adjustRightInd w:val="0"/>
        <w:jc w:val="center"/>
        <w:rPr>
          <w:rFonts w:ascii="楷体_GB2312" w:hAnsi="Courier New" w:eastAsia="楷体_GB2312" w:cs="Courier New"/>
          <w:bCs/>
          <w:color w:val="auto"/>
          <w:sz w:val="48"/>
          <w:szCs w:val="48"/>
          <w:highlight w:val="none"/>
        </w:rPr>
      </w:pPr>
      <w:r>
        <w:rPr>
          <w:rFonts w:hint="eastAsia" w:ascii="楷体_GB2312" w:hAnsi="Courier New" w:eastAsia="楷体_GB2312" w:cs="Courier New"/>
          <w:bCs/>
          <w:color w:val="auto"/>
          <w:sz w:val="48"/>
          <w:szCs w:val="48"/>
          <w:highlight w:val="none"/>
        </w:rPr>
        <w:t>2021年度办公楼</w:t>
      </w:r>
      <w:r>
        <w:rPr>
          <w:rFonts w:hint="eastAsia" w:ascii="楷体_GB2312" w:hAnsi="Courier New" w:eastAsia="楷体_GB2312" w:cs="Courier New"/>
          <w:bCs/>
          <w:color w:val="auto"/>
          <w:sz w:val="48"/>
          <w:szCs w:val="48"/>
          <w:highlight w:val="none"/>
          <w:lang w:val="en-US" w:eastAsia="zh-CN"/>
        </w:rPr>
        <w:t>室内</w:t>
      </w:r>
      <w:r>
        <w:rPr>
          <w:rFonts w:hint="eastAsia" w:ascii="楷体_GB2312" w:hAnsi="Courier New" w:eastAsia="楷体_GB2312" w:cs="Courier New"/>
          <w:bCs/>
          <w:color w:val="auto"/>
          <w:sz w:val="48"/>
          <w:szCs w:val="48"/>
          <w:highlight w:val="none"/>
        </w:rPr>
        <w:t>物业管理服务项目</w:t>
      </w:r>
    </w:p>
    <w:p>
      <w:pPr>
        <w:autoSpaceDE w:val="0"/>
        <w:autoSpaceDN w:val="0"/>
        <w:adjustRightInd w:val="0"/>
        <w:spacing w:line="360" w:lineRule="auto"/>
        <w:jc w:val="center"/>
        <w:rPr>
          <w:rFonts w:hAnsi="Courier New" w:cs="Courier New"/>
          <w:b/>
          <w:bCs/>
          <w:color w:val="auto"/>
          <w:sz w:val="72"/>
          <w:szCs w:val="21"/>
          <w:highlight w:val="none"/>
        </w:rPr>
      </w:pPr>
    </w:p>
    <w:p>
      <w:pPr>
        <w:autoSpaceDE w:val="0"/>
        <w:autoSpaceDN w:val="0"/>
        <w:adjustRightInd w:val="0"/>
        <w:spacing w:line="360" w:lineRule="auto"/>
        <w:jc w:val="center"/>
        <w:rPr>
          <w:rFonts w:hAnsi="Courier New" w:cs="Courier New"/>
          <w:b/>
          <w:bCs/>
          <w:color w:val="auto"/>
          <w:sz w:val="72"/>
          <w:szCs w:val="21"/>
          <w:highlight w:val="none"/>
        </w:rPr>
      </w:pPr>
    </w:p>
    <w:p>
      <w:pPr>
        <w:rPr>
          <w:color w:val="auto"/>
          <w:highlight w:val="none"/>
        </w:rPr>
      </w:pPr>
    </w:p>
    <w:p>
      <w:pPr>
        <w:autoSpaceDE w:val="0"/>
        <w:autoSpaceDN w:val="0"/>
        <w:adjustRightInd w:val="0"/>
        <w:spacing w:line="360" w:lineRule="auto"/>
        <w:rPr>
          <w:rFonts w:hAnsi="Courier New" w:cs="Courier New"/>
          <w:b/>
          <w:bCs/>
          <w:color w:val="auto"/>
          <w:sz w:val="84"/>
          <w:szCs w:val="84"/>
          <w:highlight w:val="none"/>
        </w:rPr>
      </w:pPr>
    </w:p>
    <w:p>
      <w:pPr>
        <w:autoSpaceDE w:val="0"/>
        <w:autoSpaceDN w:val="0"/>
        <w:adjustRightInd w:val="0"/>
        <w:spacing w:line="360" w:lineRule="auto"/>
        <w:jc w:val="center"/>
        <w:rPr>
          <w:rFonts w:hAnsi="Courier New" w:cs="Courier New"/>
          <w:b/>
          <w:bCs/>
          <w:color w:val="auto"/>
          <w:sz w:val="84"/>
          <w:szCs w:val="84"/>
          <w:highlight w:val="none"/>
        </w:rPr>
      </w:pPr>
      <w:r>
        <w:rPr>
          <w:rFonts w:hint="eastAsia" w:hAnsi="Courier New" w:cs="Courier New"/>
          <w:b/>
          <w:bCs/>
          <w:color w:val="auto"/>
          <w:sz w:val="84"/>
          <w:szCs w:val="84"/>
          <w:highlight w:val="none"/>
        </w:rPr>
        <w:t>竞争性磋商文件</w:t>
      </w:r>
    </w:p>
    <w:p>
      <w:pPr>
        <w:autoSpaceDE w:val="0"/>
        <w:autoSpaceDN w:val="0"/>
        <w:adjustRightInd w:val="0"/>
        <w:spacing w:line="360" w:lineRule="auto"/>
        <w:jc w:val="left"/>
        <w:rPr>
          <w:rFonts w:hAnsi="Courier New" w:cs="Courier New"/>
          <w:color w:val="auto"/>
          <w:szCs w:val="21"/>
          <w:highlight w:val="none"/>
        </w:rPr>
      </w:pPr>
    </w:p>
    <w:p>
      <w:pPr>
        <w:autoSpaceDE w:val="0"/>
        <w:autoSpaceDN w:val="0"/>
        <w:adjustRightInd w:val="0"/>
        <w:spacing w:line="360" w:lineRule="auto"/>
        <w:jc w:val="left"/>
        <w:rPr>
          <w:rFonts w:hAnsi="Courier New" w:cs="Courier New"/>
          <w:color w:val="auto"/>
          <w:szCs w:val="21"/>
          <w:highlight w:val="none"/>
        </w:rPr>
      </w:pPr>
    </w:p>
    <w:p>
      <w:pPr>
        <w:autoSpaceDE w:val="0"/>
        <w:autoSpaceDN w:val="0"/>
        <w:adjustRightInd w:val="0"/>
        <w:spacing w:line="360" w:lineRule="auto"/>
        <w:jc w:val="left"/>
        <w:rPr>
          <w:rFonts w:hAnsi="Courier New" w:cs="Courier New"/>
          <w:color w:val="auto"/>
          <w:szCs w:val="21"/>
          <w:highlight w:val="none"/>
        </w:rPr>
      </w:pPr>
    </w:p>
    <w:p>
      <w:pPr>
        <w:autoSpaceDE w:val="0"/>
        <w:autoSpaceDN w:val="0"/>
        <w:adjustRightInd w:val="0"/>
        <w:spacing w:line="360" w:lineRule="auto"/>
        <w:jc w:val="left"/>
        <w:rPr>
          <w:rFonts w:hAnsi="Courier New" w:cs="Courier New"/>
          <w:color w:val="auto"/>
          <w:szCs w:val="21"/>
          <w:highlight w:val="none"/>
        </w:rPr>
      </w:pPr>
    </w:p>
    <w:p>
      <w:pPr>
        <w:autoSpaceDE w:val="0"/>
        <w:autoSpaceDN w:val="0"/>
        <w:adjustRightInd w:val="0"/>
        <w:spacing w:line="360" w:lineRule="auto"/>
        <w:jc w:val="left"/>
        <w:rPr>
          <w:rFonts w:hAnsi="Courier New" w:cs="Courier New"/>
          <w:color w:val="auto"/>
          <w:szCs w:val="21"/>
          <w:highlight w:val="none"/>
        </w:rPr>
      </w:pPr>
    </w:p>
    <w:p>
      <w:pPr>
        <w:autoSpaceDE w:val="0"/>
        <w:autoSpaceDN w:val="0"/>
        <w:adjustRightInd w:val="0"/>
        <w:spacing w:line="360" w:lineRule="auto"/>
        <w:jc w:val="left"/>
        <w:rPr>
          <w:rFonts w:hAnsi="Courier New" w:cs="Courier New"/>
          <w:color w:val="auto"/>
          <w:szCs w:val="21"/>
          <w:highlight w:val="none"/>
        </w:rPr>
      </w:pPr>
    </w:p>
    <w:p>
      <w:pPr>
        <w:autoSpaceDE w:val="0"/>
        <w:autoSpaceDN w:val="0"/>
        <w:adjustRightInd w:val="0"/>
        <w:spacing w:line="360" w:lineRule="auto"/>
        <w:jc w:val="left"/>
        <w:rPr>
          <w:rFonts w:hAnsi="Courier New" w:cs="Courier New"/>
          <w:b/>
          <w:bCs/>
          <w:color w:val="auto"/>
          <w:sz w:val="32"/>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center"/>
        <w:rPr>
          <w:rFonts w:hAnsi="Courier New" w:cs="Courier New"/>
          <w:b/>
          <w:bCs/>
          <w:color w:val="auto"/>
          <w:sz w:val="32"/>
          <w:szCs w:val="32"/>
          <w:highlight w:val="none"/>
        </w:rPr>
      </w:pPr>
      <w:r>
        <w:rPr>
          <w:rFonts w:hint="eastAsia" w:hAnsi="Courier New" w:cs="Courier New"/>
          <w:b/>
          <w:bCs/>
          <w:color w:val="auto"/>
          <w:sz w:val="32"/>
          <w:szCs w:val="32"/>
          <w:highlight w:val="none"/>
        </w:rPr>
        <w:t>采购人：云南省国有金融资本控股集团有限公司</w:t>
      </w:r>
    </w:p>
    <w:p>
      <w:pPr>
        <w:autoSpaceDE w:val="0"/>
        <w:autoSpaceDN w:val="0"/>
        <w:adjustRightInd w:val="0"/>
        <w:spacing w:line="360" w:lineRule="auto"/>
        <w:jc w:val="center"/>
        <w:rPr>
          <w:rFonts w:hAnsi="Courier New" w:cs="Courier New"/>
          <w:b/>
          <w:bCs/>
          <w:color w:val="auto"/>
          <w:sz w:val="32"/>
          <w:szCs w:val="32"/>
          <w:highlight w:val="none"/>
        </w:rPr>
      </w:pPr>
    </w:p>
    <w:p>
      <w:pPr>
        <w:autoSpaceDE w:val="0"/>
        <w:autoSpaceDN w:val="0"/>
        <w:adjustRightInd w:val="0"/>
        <w:spacing w:line="360" w:lineRule="auto"/>
        <w:jc w:val="center"/>
        <w:rPr>
          <w:rFonts w:hint="eastAsia" w:ascii="宋体" w:hAnsi="宋体" w:cs="Courier New"/>
          <w:b/>
          <w:bCs/>
          <w:color w:val="auto"/>
          <w:sz w:val="32"/>
          <w:szCs w:val="32"/>
          <w:highlight w:val="none"/>
        </w:rPr>
      </w:pPr>
    </w:p>
    <w:p>
      <w:pPr>
        <w:autoSpaceDE w:val="0"/>
        <w:autoSpaceDN w:val="0"/>
        <w:adjustRightInd w:val="0"/>
        <w:spacing w:line="360" w:lineRule="auto"/>
        <w:jc w:val="center"/>
        <w:rPr>
          <w:rFonts w:ascii="宋体" w:hAnsi="宋体" w:cs="Courier New"/>
          <w:b/>
          <w:bCs/>
          <w:color w:val="auto"/>
          <w:sz w:val="32"/>
          <w:szCs w:val="32"/>
          <w:highlight w:val="none"/>
        </w:rPr>
      </w:pPr>
      <w:r>
        <w:rPr>
          <w:rFonts w:hint="eastAsia" w:ascii="宋体" w:hAnsi="宋体" w:cs="Courier New"/>
          <w:b/>
          <w:bCs/>
          <w:color w:val="auto"/>
          <w:sz w:val="32"/>
          <w:szCs w:val="32"/>
          <w:highlight w:val="none"/>
        </w:rPr>
        <w:t>二</w:t>
      </w:r>
      <w:r>
        <w:rPr>
          <w:rFonts w:ascii="宋体" w:hAnsi="宋体" w:cs="Courier New"/>
          <w:b/>
          <w:bCs/>
          <w:color w:val="auto"/>
          <w:sz w:val="32"/>
          <w:szCs w:val="32"/>
          <w:highlight w:val="none"/>
        </w:rPr>
        <w:t>○</w:t>
      </w:r>
      <w:r>
        <w:rPr>
          <w:rFonts w:hint="eastAsia" w:ascii="宋体" w:hAnsi="宋体" w:cs="Courier New"/>
          <w:b/>
          <w:bCs/>
          <w:color w:val="auto"/>
          <w:sz w:val="32"/>
          <w:szCs w:val="32"/>
          <w:highlight w:val="none"/>
        </w:rPr>
        <w:t>二○年十二月</w:t>
      </w:r>
    </w:p>
    <w:p>
      <w:pPr>
        <w:tabs>
          <w:tab w:val="left" w:pos="2520"/>
          <w:tab w:val="center" w:pos="4819"/>
        </w:tabs>
        <w:spacing w:line="360" w:lineRule="auto"/>
        <w:jc w:val="left"/>
        <w:rPr>
          <w:rFonts w:ascii="仿宋_GB2312" w:eastAsia="仿宋_GB2312"/>
          <w:b/>
          <w:bCs/>
          <w:color w:val="auto"/>
          <w:kern w:val="0"/>
          <w:sz w:val="44"/>
          <w:szCs w:val="44"/>
          <w:highlight w:val="none"/>
        </w:rPr>
      </w:pPr>
      <w:r>
        <w:rPr>
          <w:rFonts w:eastAsia="仿宋_GB2312"/>
          <w:color w:val="auto"/>
          <w:kern w:val="0"/>
          <w:sz w:val="24"/>
          <w:highlight w:val="none"/>
        </w:rPr>
        <w:br w:type="page"/>
      </w:r>
      <w:r>
        <w:rPr>
          <w:rFonts w:eastAsia="仿宋_GB2312"/>
          <w:color w:val="auto"/>
          <w:kern w:val="0"/>
          <w:sz w:val="24"/>
          <w:highlight w:val="none"/>
        </w:rPr>
        <w:tab/>
      </w:r>
      <w:r>
        <w:rPr>
          <w:rFonts w:eastAsia="仿宋_GB2312"/>
          <w:color w:val="auto"/>
          <w:kern w:val="0"/>
          <w:sz w:val="24"/>
          <w:highlight w:val="none"/>
        </w:rPr>
        <w:tab/>
      </w:r>
      <w:r>
        <w:rPr>
          <w:rFonts w:hint="eastAsia" w:ascii="仿宋_GB2312" w:eastAsia="仿宋_GB2312"/>
          <w:b/>
          <w:bCs/>
          <w:color w:val="auto"/>
          <w:kern w:val="0"/>
          <w:sz w:val="44"/>
          <w:szCs w:val="44"/>
          <w:highlight w:val="none"/>
        </w:rPr>
        <w:t>目</w:t>
      </w:r>
      <w:r>
        <w:rPr>
          <w:rFonts w:ascii="仿宋_GB2312" w:eastAsia="仿宋_GB2312"/>
          <w:b/>
          <w:bCs/>
          <w:color w:val="auto"/>
          <w:kern w:val="0"/>
          <w:sz w:val="44"/>
          <w:szCs w:val="44"/>
          <w:highlight w:val="none"/>
        </w:rPr>
        <w:t xml:space="preserve">  </w:t>
      </w:r>
      <w:r>
        <w:rPr>
          <w:rFonts w:hint="eastAsia" w:ascii="仿宋_GB2312" w:eastAsia="仿宋_GB2312"/>
          <w:b/>
          <w:bCs/>
          <w:color w:val="auto"/>
          <w:kern w:val="0"/>
          <w:sz w:val="44"/>
          <w:szCs w:val="44"/>
          <w:highlight w:val="none"/>
        </w:rPr>
        <w:t>录</w:t>
      </w:r>
    </w:p>
    <w:p>
      <w:pPr>
        <w:tabs>
          <w:tab w:val="left" w:pos="2520"/>
          <w:tab w:val="center" w:pos="4819"/>
        </w:tabs>
        <w:spacing w:line="360" w:lineRule="auto"/>
        <w:jc w:val="left"/>
        <w:rPr>
          <w:rFonts w:ascii="仿宋_GB2312" w:eastAsia="仿宋_GB2312"/>
          <w:b/>
          <w:bCs/>
          <w:color w:val="auto"/>
          <w:kern w:val="0"/>
          <w:sz w:val="44"/>
          <w:szCs w:val="44"/>
          <w:highlight w:val="none"/>
        </w:rPr>
      </w:pPr>
    </w:p>
    <w:p>
      <w:pPr>
        <w:tabs>
          <w:tab w:val="right" w:leader="dot" w:pos="9628"/>
        </w:tabs>
        <w:spacing w:line="480" w:lineRule="auto"/>
        <w:rPr>
          <w:rFonts w:hAnsi="宋体"/>
          <w:b/>
          <w:color w:val="auto"/>
          <w:sz w:val="24"/>
          <w:highlight w:val="none"/>
        </w:rPr>
      </w:pPr>
      <w:r>
        <w:rPr>
          <w:rFonts w:hAnsi="宋体"/>
          <w:b/>
          <w:color w:val="auto"/>
          <w:sz w:val="24"/>
          <w:highlight w:val="none"/>
        </w:rPr>
        <w:fldChar w:fldCharType="begin"/>
      </w:r>
      <w:r>
        <w:rPr>
          <w:rFonts w:hAnsi="宋体"/>
          <w:b/>
          <w:color w:val="auto"/>
          <w:sz w:val="24"/>
          <w:highlight w:val="none"/>
        </w:rPr>
        <w:instrText xml:space="preserve"> TOC \o "1-3" \h \z </w:instrText>
      </w:r>
      <w:r>
        <w:rPr>
          <w:rFonts w:hAnsi="宋体"/>
          <w:b/>
          <w:color w:val="auto"/>
          <w:sz w:val="24"/>
          <w:highlight w:val="none"/>
        </w:rPr>
        <w:fldChar w:fldCharType="separate"/>
      </w:r>
      <w:r>
        <w:rPr>
          <w:color w:val="auto"/>
          <w:highlight w:val="none"/>
        </w:rPr>
        <w:fldChar w:fldCharType="begin"/>
      </w:r>
      <w:r>
        <w:rPr>
          <w:color w:val="auto"/>
          <w:highlight w:val="none"/>
        </w:rPr>
        <w:instrText xml:space="preserve"> HYPERLINK \l "_Toc383175464" </w:instrText>
      </w:r>
      <w:r>
        <w:rPr>
          <w:color w:val="auto"/>
          <w:highlight w:val="none"/>
        </w:rPr>
        <w:fldChar w:fldCharType="separate"/>
      </w:r>
      <w:r>
        <w:rPr>
          <w:rFonts w:hint="eastAsia" w:hAnsi="宋体"/>
          <w:b/>
          <w:color w:val="auto"/>
          <w:sz w:val="24"/>
          <w:highlight w:val="none"/>
        </w:rPr>
        <w:t>第一章竞争性磋商公告</w:t>
      </w:r>
      <w:r>
        <w:rPr>
          <w:rFonts w:hAnsi="宋体"/>
          <w:b/>
          <w:color w:val="auto"/>
          <w:sz w:val="24"/>
          <w:highlight w:val="none"/>
        </w:rPr>
        <w:tab/>
      </w:r>
      <w:r>
        <w:rPr>
          <w:rFonts w:hAnsi="宋体"/>
          <w:b/>
          <w:color w:val="auto"/>
          <w:sz w:val="24"/>
          <w:highlight w:val="none"/>
        </w:rPr>
        <w:fldChar w:fldCharType="begin"/>
      </w:r>
      <w:r>
        <w:rPr>
          <w:rFonts w:hAnsi="宋体"/>
          <w:b/>
          <w:color w:val="auto"/>
          <w:sz w:val="24"/>
          <w:highlight w:val="none"/>
        </w:rPr>
        <w:instrText xml:space="preserve"> PAGEREF _Toc383175464 \h </w:instrText>
      </w:r>
      <w:r>
        <w:rPr>
          <w:rFonts w:hAnsi="宋体"/>
          <w:b/>
          <w:color w:val="auto"/>
          <w:sz w:val="24"/>
          <w:highlight w:val="none"/>
        </w:rPr>
        <w:fldChar w:fldCharType="separate"/>
      </w:r>
      <w:r>
        <w:rPr>
          <w:rFonts w:hAnsi="宋体"/>
          <w:b/>
          <w:color w:val="auto"/>
          <w:sz w:val="24"/>
          <w:highlight w:val="none"/>
        </w:rPr>
        <w:t>3</w:t>
      </w:r>
      <w:r>
        <w:rPr>
          <w:rFonts w:hAnsi="宋体"/>
          <w:b/>
          <w:color w:val="auto"/>
          <w:sz w:val="24"/>
          <w:highlight w:val="none"/>
        </w:rPr>
        <w:fldChar w:fldCharType="end"/>
      </w:r>
      <w:r>
        <w:rPr>
          <w:rFonts w:hAnsi="宋体"/>
          <w:b/>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"_Toc383175465" </w:instrText>
      </w:r>
      <w:r>
        <w:rPr>
          <w:color w:val="auto"/>
          <w:highlight w:val="none"/>
        </w:rPr>
        <w:fldChar w:fldCharType="separate"/>
      </w:r>
      <w:r>
        <w:rPr>
          <w:color w:val="auto"/>
          <w:sz w:val="24"/>
          <w:highlight w:val="none"/>
        </w:rPr>
        <w:t xml:space="preserve">1. </w:t>
      </w:r>
      <w:r>
        <w:rPr>
          <w:rFonts w:hint="eastAsia" w:hAnsi="宋体"/>
          <w:color w:val="auto"/>
          <w:sz w:val="24"/>
          <w:highlight w:val="none"/>
        </w:rPr>
        <w:t>竞争性磋商条件</w:t>
      </w:r>
      <w:r>
        <w:rPr>
          <w:color w:val="auto"/>
          <w:sz w:val="24"/>
          <w:highlight w:val="none"/>
        </w:rPr>
        <w:tab/>
      </w:r>
      <w:r>
        <w:rPr>
          <w:color w:val="auto"/>
          <w:sz w:val="24"/>
          <w:highlight w:val="none"/>
        </w:rPr>
        <w:fldChar w:fldCharType="begin"/>
      </w:r>
      <w:r>
        <w:rPr>
          <w:color w:val="auto"/>
          <w:sz w:val="24"/>
          <w:highlight w:val="none"/>
        </w:rPr>
        <w:instrText xml:space="preserve"> PAGEREF _Toc383175465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"_Toc383175466" </w:instrText>
      </w:r>
      <w:r>
        <w:rPr>
          <w:color w:val="auto"/>
          <w:highlight w:val="none"/>
        </w:rPr>
        <w:fldChar w:fldCharType="separate"/>
      </w:r>
      <w:r>
        <w:rPr>
          <w:color w:val="auto"/>
          <w:sz w:val="24"/>
          <w:highlight w:val="none"/>
        </w:rPr>
        <w:t xml:space="preserve">2. </w:t>
      </w:r>
      <w:r>
        <w:rPr>
          <w:rFonts w:hint="eastAsia"/>
          <w:color w:val="auto"/>
          <w:sz w:val="24"/>
          <w:highlight w:val="none"/>
        </w:rPr>
        <w:t>项目概况</w:t>
      </w:r>
      <w:r>
        <w:rPr>
          <w:color w:val="auto"/>
          <w:sz w:val="24"/>
          <w:highlight w:val="none"/>
        </w:rPr>
        <w:tab/>
      </w:r>
      <w:r>
        <w:rPr>
          <w:color w:val="auto"/>
          <w:sz w:val="24"/>
          <w:highlight w:val="none"/>
        </w:rPr>
        <w:fldChar w:fldCharType="begin"/>
      </w:r>
      <w:r>
        <w:rPr>
          <w:color w:val="auto"/>
          <w:sz w:val="24"/>
          <w:highlight w:val="none"/>
        </w:rPr>
        <w:instrText xml:space="preserve"> PAGEREF _Toc383175466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"_Toc383175467" </w:instrText>
      </w:r>
      <w:r>
        <w:rPr>
          <w:color w:val="auto"/>
          <w:highlight w:val="none"/>
        </w:rPr>
        <w:fldChar w:fldCharType="separate"/>
      </w:r>
      <w:r>
        <w:rPr>
          <w:color w:val="auto"/>
          <w:sz w:val="24"/>
          <w:highlight w:val="none"/>
        </w:rPr>
        <w:t xml:space="preserve">3. </w:t>
      </w:r>
      <w:r>
        <w:rPr>
          <w:rFonts w:hint="eastAsia" w:hAnsi="宋体"/>
          <w:color w:val="auto"/>
          <w:sz w:val="24"/>
          <w:highlight w:val="none"/>
        </w:rPr>
        <w:t>供应商资格要求</w:t>
      </w:r>
      <w:r>
        <w:rPr>
          <w:color w:val="auto"/>
          <w:sz w:val="24"/>
          <w:highlight w:val="none"/>
        </w:rPr>
        <w:tab/>
      </w:r>
      <w:r>
        <w:rPr>
          <w:color w:val="auto"/>
          <w:sz w:val="24"/>
          <w:highlight w:val="none"/>
        </w:rPr>
        <w:fldChar w:fldCharType="begin"/>
      </w:r>
      <w:r>
        <w:rPr>
          <w:color w:val="auto"/>
          <w:sz w:val="24"/>
          <w:highlight w:val="none"/>
        </w:rPr>
        <w:instrText xml:space="preserve"> PAGEREF _Toc383175467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"_Toc383175468" </w:instrText>
      </w:r>
      <w:r>
        <w:rPr>
          <w:color w:val="auto"/>
          <w:highlight w:val="none"/>
        </w:rPr>
        <w:fldChar w:fldCharType="separate"/>
      </w:r>
      <w:r>
        <w:rPr>
          <w:color w:val="auto"/>
          <w:sz w:val="24"/>
          <w:highlight w:val="none"/>
        </w:rPr>
        <w:t xml:space="preserve">4. </w:t>
      </w:r>
      <w:r>
        <w:rPr>
          <w:rFonts w:hint="eastAsia" w:hAnsi="宋体"/>
          <w:color w:val="auto"/>
          <w:sz w:val="24"/>
          <w:highlight w:val="none"/>
        </w:rPr>
        <w:t>磋商文件的获取</w:t>
      </w:r>
      <w:r>
        <w:rPr>
          <w:color w:val="auto"/>
          <w:sz w:val="24"/>
          <w:highlight w:val="none"/>
        </w:rPr>
        <w:tab/>
      </w:r>
      <w:r>
        <w:rPr>
          <w:color w:val="auto"/>
          <w:sz w:val="24"/>
          <w:highlight w:val="none"/>
        </w:rPr>
        <w:fldChar w:fldCharType="begin"/>
      </w:r>
      <w:r>
        <w:rPr>
          <w:color w:val="auto"/>
          <w:sz w:val="24"/>
          <w:highlight w:val="none"/>
        </w:rPr>
        <w:instrText xml:space="preserve"> PAGEREF _Toc383175468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"_Toc383175469" </w:instrText>
      </w:r>
      <w:r>
        <w:rPr>
          <w:color w:val="auto"/>
          <w:highlight w:val="none"/>
        </w:rPr>
        <w:fldChar w:fldCharType="separate"/>
      </w:r>
      <w:r>
        <w:rPr>
          <w:color w:val="auto"/>
          <w:sz w:val="24"/>
          <w:highlight w:val="none"/>
        </w:rPr>
        <w:t xml:space="preserve">5. </w:t>
      </w:r>
      <w:r>
        <w:rPr>
          <w:rFonts w:hint="eastAsia" w:hAnsi="宋体"/>
          <w:color w:val="auto"/>
          <w:sz w:val="24"/>
          <w:highlight w:val="none"/>
        </w:rPr>
        <w:t>响应文件的递交</w:t>
      </w:r>
      <w:r>
        <w:rPr>
          <w:color w:val="auto"/>
          <w:sz w:val="24"/>
          <w:highlight w:val="none"/>
        </w:rPr>
        <w:tab/>
      </w:r>
      <w:r>
        <w:rPr>
          <w:color w:val="auto"/>
          <w:sz w:val="24"/>
          <w:highlight w:val="none"/>
        </w:rPr>
        <w:fldChar w:fldCharType="begin"/>
      </w:r>
      <w:r>
        <w:rPr>
          <w:color w:val="auto"/>
          <w:sz w:val="24"/>
          <w:highlight w:val="none"/>
        </w:rPr>
        <w:instrText xml:space="preserve"> PAGEREF _Toc383175469 \h </w:instrText>
      </w:r>
      <w:r>
        <w:rPr>
          <w:color w:val="auto"/>
          <w:sz w:val="24"/>
          <w:highlight w:val="none"/>
        </w:rPr>
        <w:fldChar w:fldCharType="separate"/>
      </w:r>
      <w:r>
        <w:rPr>
          <w:color w:val="auto"/>
          <w:sz w:val="24"/>
          <w:highlight w:val="none"/>
        </w:rPr>
        <w:t>4</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"_Toc383175470" </w:instrText>
      </w:r>
      <w:r>
        <w:rPr>
          <w:color w:val="auto"/>
          <w:highlight w:val="none"/>
        </w:rPr>
        <w:fldChar w:fldCharType="separate"/>
      </w:r>
      <w:r>
        <w:rPr>
          <w:color w:val="auto"/>
          <w:sz w:val="24"/>
          <w:highlight w:val="none"/>
        </w:rPr>
        <w:t>6</w:t>
      </w:r>
      <w:r>
        <w:rPr>
          <w:rFonts w:hint="eastAsia"/>
          <w:color w:val="auto"/>
          <w:sz w:val="24"/>
          <w:highlight w:val="none"/>
        </w:rPr>
        <w:t>．发布公告的媒介</w:t>
      </w:r>
      <w:r>
        <w:rPr>
          <w:color w:val="auto"/>
          <w:sz w:val="24"/>
          <w:highlight w:val="none"/>
        </w:rPr>
        <w:tab/>
      </w:r>
      <w:r>
        <w:rPr>
          <w:color w:val="auto"/>
          <w:sz w:val="24"/>
          <w:highlight w:val="none"/>
        </w:rPr>
        <w:fldChar w:fldCharType="begin"/>
      </w:r>
      <w:r>
        <w:rPr>
          <w:color w:val="auto"/>
          <w:sz w:val="24"/>
          <w:highlight w:val="none"/>
        </w:rPr>
        <w:instrText xml:space="preserve"> PAGEREF _Toc383175470 \h </w:instrText>
      </w:r>
      <w:r>
        <w:rPr>
          <w:color w:val="auto"/>
          <w:sz w:val="24"/>
          <w:highlight w:val="none"/>
        </w:rPr>
        <w:fldChar w:fldCharType="separate"/>
      </w:r>
      <w:r>
        <w:rPr>
          <w:color w:val="auto"/>
          <w:sz w:val="24"/>
          <w:highlight w:val="none"/>
        </w:rPr>
        <w:t>4</w:t>
      </w:r>
      <w:r>
        <w:rPr>
          <w:color w:val="auto"/>
          <w:sz w:val="24"/>
          <w:highlight w:val="none"/>
        </w:rPr>
        <w:fldChar w:fldCharType="end"/>
      </w:r>
      <w:r>
        <w:rPr>
          <w:color w:val="auto"/>
          <w:sz w:val="24"/>
          <w:highlight w:val="none"/>
        </w:rPr>
        <w:fldChar w:fldCharType="end"/>
      </w:r>
    </w:p>
    <w:p>
      <w:pPr>
        <w:tabs>
          <w:tab w:val="right" w:leader="dot" w:pos="9628"/>
        </w:tabs>
        <w:spacing w:line="360" w:lineRule="auto"/>
        <w:rPr>
          <w:rFonts w:hAnsi="宋体"/>
          <w:b/>
          <w:color w:val="auto"/>
          <w:sz w:val="24"/>
          <w:highlight w:val="none"/>
        </w:rPr>
      </w:pPr>
      <w:r>
        <w:rPr>
          <w:color w:val="auto"/>
          <w:highlight w:val="none"/>
        </w:rPr>
        <w:fldChar w:fldCharType="begin"/>
      </w:r>
      <w:r>
        <w:rPr>
          <w:color w:val="auto"/>
          <w:highlight w:val="none"/>
        </w:rPr>
        <w:instrText xml:space="preserve"> HYPERLINK \l "_Toc383175471" </w:instrText>
      </w:r>
      <w:r>
        <w:rPr>
          <w:color w:val="auto"/>
          <w:highlight w:val="none"/>
        </w:rPr>
        <w:fldChar w:fldCharType="separate"/>
      </w:r>
      <w:r>
        <w:rPr>
          <w:rFonts w:hint="eastAsia" w:hAnsi="宋体"/>
          <w:b/>
          <w:color w:val="auto"/>
          <w:sz w:val="24"/>
          <w:highlight w:val="none"/>
        </w:rPr>
        <w:t>第二章供应商须知</w:t>
      </w:r>
      <w:r>
        <w:rPr>
          <w:rFonts w:hAnsi="宋体"/>
          <w:b/>
          <w:color w:val="auto"/>
          <w:sz w:val="24"/>
          <w:highlight w:val="none"/>
        </w:rPr>
        <w:tab/>
      </w:r>
      <w:r>
        <w:rPr>
          <w:rFonts w:hAnsi="宋体"/>
          <w:b/>
          <w:color w:val="auto"/>
          <w:sz w:val="24"/>
          <w:highlight w:val="none"/>
        </w:rPr>
        <w:fldChar w:fldCharType="begin"/>
      </w:r>
      <w:r>
        <w:rPr>
          <w:rFonts w:hAnsi="宋体"/>
          <w:b/>
          <w:color w:val="auto"/>
          <w:sz w:val="24"/>
          <w:highlight w:val="none"/>
        </w:rPr>
        <w:instrText xml:space="preserve"> PAGEREF _Toc383175471 \h </w:instrText>
      </w:r>
      <w:r>
        <w:rPr>
          <w:rFonts w:hAnsi="宋体"/>
          <w:b/>
          <w:color w:val="auto"/>
          <w:sz w:val="24"/>
          <w:highlight w:val="none"/>
        </w:rPr>
        <w:fldChar w:fldCharType="separate"/>
      </w:r>
      <w:r>
        <w:rPr>
          <w:rFonts w:hAnsi="宋体"/>
          <w:b/>
          <w:color w:val="auto"/>
          <w:sz w:val="24"/>
          <w:highlight w:val="none"/>
        </w:rPr>
        <w:t>5</w:t>
      </w:r>
      <w:r>
        <w:rPr>
          <w:rFonts w:hAnsi="宋体"/>
          <w:b/>
          <w:color w:val="auto"/>
          <w:sz w:val="24"/>
          <w:highlight w:val="none"/>
        </w:rPr>
        <w:fldChar w:fldCharType="end"/>
      </w:r>
      <w:r>
        <w:rPr>
          <w:rFonts w:hAnsi="宋体"/>
          <w:b/>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"_Toc383175472" </w:instrText>
      </w:r>
      <w:r>
        <w:rPr>
          <w:color w:val="auto"/>
          <w:highlight w:val="none"/>
        </w:rPr>
        <w:fldChar w:fldCharType="separate"/>
      </w:r>
      <w:r>
        <w:rPr>
          <w:rFonts w:hint="eastAsia"/>
          <w:color w:val="auto"/>
          <w:sz w:val="24"/>
          <w:highlight w:val="none"/>
        </w:rPr>
        <w:t>供应商须知前附表</w:t>
      </w:r>
      <w:r>
        <w:rPr>
          <w:color w:val="auto"/>
          <w:sz w:val="24"/>
          <w:highlight w:val="none"/>
        </w:rPr>
        <w:tab/>
      </w:r>
      <w:r>
        <w:rPr>
          <w:color w:val="auto"/>
          <w:sz w:val="24"/>
          <w:highlight w:val="none"/>
        </w:rPr>
        <w:fldChar w:fldCharType="begin"/>
      </w:r>
      <w:r>
        <w:rPr>
          <w:color w:val="auto"/>
          <w:sz w:val="24"/>
          <w:highlight w:val="none"/>
        </w:rPr>
        <w:instrText xml:space="preserve"> PAGEREF _Toc383175472 \h </w:instrText>
      </w:r>
      <w:r>
        <w:rPr>
          <w:color w:val="auto"/>
          <w:sz w:val="24"/>
          <w:highlight w:val="none"/>
        </w:rPr>
        <w:fldChar w:fldCharType="separate"/>
      </w:r>
      <w:r>
        <w:rPr>
          <w:color w:val="auto"/>
          <w:sz w:val="24"/>
          <w:highlight w:val="none"/>
        </w:rPr>
        <w:t>5</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"_Toc383175473" </w:instrText>
      </w:r>
      <w:r>
        <w:rPr>
          <w:color w:val="auto"/>
          <w:highlight w:val="none"/>
        </w:rPr>
        <w:fldChar w:fldCharType="separate"/>
      </w:r>
      <w:r>
        <w:rPr>
          <w:rFonts w:hint="eastAsia"/>
          <w:color w:val="auto"/>
          <w:sz w:val="24"/>
          <w:highlight w:val="none"/>
        </w:rPr>
        <w:t>一、总则</w:t>
      </w:r>
      <w:r>
        <w:rPr>
          <w:color w:val="auto"/>
          <w:sz w:val="24"/>
          <w:highlight w:val="none"/>
        </w:rPr>
        <w:tab/>
      </w:r>
      <w:r>
        <w:rPr>
          <w:color w:val="auto"/>
          <w:sz w:val="24"/>
          <w:highlight w:val="none"/>
        </w:rPr>
        <w:fldChar w:fldCharType="begin"/>
      </w:r>
      <w:r>
        <w:rPr>
          <w:color w:val="auto"/>
          <w:sz w:val="24"/>
          <w:highlight w:val="none"/>
        </w:rPr>
        <w:instrText xml:space="preserve"> PAGEREF _Toc383175473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"_Toc383175479" </w:instrText>
      </w:r>
      <w:r>
        <w:rPr>
          <w:color w:val="auto"/>
          <w:highlight w:val="none"/>
        </w:rPr>
        <w:fldChar w:fldCharType="separate"/>
      </w:r>
      <w:r>
        <w:rPr>
          <w:rFonts w:hint="eastAsia"/>
          <w:color w:val="auto"/>
          <w:sz w:val="24"/>
          <w:highlight w:val="none"/>
        </w:rPr>
        <w:t>二、磋商文件</w:t>
      </w:r>
      <w:r>
        <w:rPr>
          <w:color w:val="auto"/>
          <w:sz w:val="24"/>
          <w:highlight w:val="none"/>
        </w:rPr>
        <w:tab/>
      </w:r>
      <w:r>
        <w:rPr>
          <w:color w:val="auto"/>
          <w:sz w:val="24"/>
          <w:highlight w:val="none"/>
        </w:rPr>
        <w:fldChar w:fldCharType="begin"/>
      </w:r>
      <w:r>
        <w:rPr>
          <w:color w:val="auto"/>
          <w:sz w:val="24"/>
          <w:highlight w:val="none"/>
        </w:rPr>
        <w:instrText xml:space="preserve"> PAGEREF _Toc383175479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"_Toc383175482" </w:instrText>
      </w:r>
      <w:r>
        <w:rPr>
          <w:color w:val="auto"/>
          <w:highlight w:val="none"/>
        </w:rPr>
        <w:fldChar w:fldCharType="separate"/>
      </w:r>
      <w:r>
        <w:rPr>
          <w:rFonts w:hint="eastAsia" w:ascii="宋体" w:hAnsi="宋体"/>
          <w:color w:val="auto"/>
          <w:sz w:val="24"/>
          <w:highlight w:val="none"/>
        </w:rPr>
        <w:t>三、响应文件</w:t>
      </w:r>
      <w:r>
        <w:rPr>
          <w:color w:val="auto"/>
          <w:sz w:val="24"/>
          <w:highlight w:val="none"/>
        </w:rPr>
        <w:tab/>
      </w:r>
      <w:r>
        <w:rPr>
          <w:color w:val="auto"/>
          <w:sz w:val="24"/>
          <w:highlight w:val="none"/>
        </w:rPr>
        <w:fldChar w:fldCharType="begin"/>
      </w:r>
      <w:r>
        <w:rPr>
          <w:color w:val="auto"/>
          <w:sz w:val="24"/>
          <w:highlight w:val="none"/>
        </w:rPr>
        <w:instrText xml:space="preserve"> PAGEREF _Toc383175482 \h </w:instrText>
      </w:r>
      <w:r>
        <w:rPr>
          <w:color w:val="auto"/>
          <w:sz w:val="24"/>
          <w:highlight w:val="none"/>
        </w:rPr>
        <w:fldChar w:fldCharType="separate"/>
      </w:r>
      <w:r>
        <w:rPr>
          <w:color w:val="auto"/>
          <w:sz w:val="24"/>
          <w:highlight w:val="none"/>
        </w:rPr>
        <w:t>8</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"_Toc383175489" </w:instrText>
      </w:r>
      <w:r>
        <w:rPr>
          <w:color w:val="auto"/>
          <w:highlight w:val="none"/>
        </w:rPr>
        <w:fldChar w:fldCharType="separate"/>
      </w:r>
      <w:r>
        <w:rPr>
          <w:rFonts w:hint="eastAsia"/>
          <w:color w:val="auto"/>
          <w:sz w:val="24"/>
          <w:highlight w:val="none"/>
        </w:rPr>
        <w:t>四、响应文件的提交</w:t>
      </w:r>
      <w:r>
        <w:rPr>
          <w:color w:val="auto"/>
          <w:sz w:val="24"/>
          <w:highlight w:val="none"/>
        </w:rPr>
        <w:tab/>
      </w:r>
      <w:r>
        <w:rPr>
          <w:color w:val="auto"/>
          <w:sz w:val="24"/>
          <w:highlight w:val="none"/>
        </w:rPr>
        <w:fldChar w:fldCharType="begin"/>
      </w:r>
      <w:r>
        <w:rPr>
          <w:color w:val="auto"/>
          <w:sz w:val="24"/>
          <w:highlight w:val="none"/>
        </w:rPr>
        <w:instrText xml:space="preserve"> PAGEREF _Toc383175489 \h </w:instrText>
      </w:r>
      <w:r>
        <w:rPr>
          <w:color w:val="auto"/>
          <w:sz w:val="24"/>
          <w:highlight w:val="none"/>
        </w:rPr>
        <w:fldChar w:fldCharType="separate"/>
      </w:r>
      <w:r>
        <w:rPr>
          <w:color w:val="auto"/>
          <w:sz w:val="24"/>
          <w:highlight w:val="none"/>
        </w:rPr>
        <w:t>10</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"_Toc383175492" </w:instrText>
      </w:r>
      <w:r>
        <w:rPr>
          <w:color w:val="auto"/>
          <w:highlight w:val="none"/>
        </w:rPr>
        <w:fldChar w:fldCharType="separate"/>
      </w:r>
      <w:r>
        <w:rPr>
          <w:rFonts w:hint="eastAsia"/>
          <w:color w:val="auto"/>
          <w:sz w:val="24"/>
          <w:highlight w:val="none"/>
        </w:rPr>
        <w:t>五、磋商</w:t>
      </w:r>
      <w:r>
        <w:rPr>
          <w:color w:val="auto"/>
          <w:sz w:val="24"/>
          <w:highlight w:val="none"/>
        </w:rPr>
        <w:tab/>
      </w:r>
      <w:r>
        <w:rPr>
          <w:color w:val="auto"/>
          <w:sz w:val="24"/>
          <w:highlight w:val="none"/>
        </w:rPr>
        <w:fldChar w:fldCharType="begin"/>
      </w:r>
      <w:r>
        <w:rPr>
          <w:color w:val="auto"/>
          <w:sz w:val="24"/>
          <w:highlight w:val="none"/>
        </w:rPr>
        <w:instrText xml:space="preserve"> PAGEREF _Toc383175492 \h </w:instrText>
      </w:r>
      <w:r>
        <w:rPr>
          <w:color w:val="auto"/>
          <w:sz w:val="24"/>
          <w:highlight w:val="none"/>
        </w:rPr>
        <w:fldChar w:fldCharType="separate"/>
      </w:r>
      <w:r>
        <w:rPr>
          <w:color w:val="auto"/>
          <w:sz w:val="24"/>
          <w:highlight w:val="none"/>
        </w:rPr>
        <w:t>10</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"_Toc383175496" </w:instrText>
      </w:r>
      <w:r>
        <w:rPr>
          <w:color w:val="auto"/>
          <w:highlight w:val="none"/>
        </w:rPr>
        <w:fldChar w:fldCharType="separate"/>
      </w:r>
      <w:r>
        <w:rPr>
          <w:rFonts w:hint="eastAsia"/>
          <w:color w:val="auto"/>
          <w:sz w:val="24"/>
          <w:highlight w:val="none"/>
        </w:rPr>
        <w:t>六、成交结果</w:t>
      </w:r>
      <w:r>
        <w:rPr>
          <w:color w:val="auto"/>
          <w:sz w:val="24"/>
          <w:highlight w:val="none"/>
        </w:rPr>
        <w:tab/>
      </w:r>
      <w:r>
        <w:rPr>
          <w:color w:val="auto"/>
          <w:sz w:val="24"/>
          <w:highlight w:val="none"/>
        </w:rPr>
        <w:fldChar w:fldCharType="begin"/>
      </w:r>
      <w:r>
        <w:rPr>
          <w:color w:val="auto"/>
          <w:sz w:val="24"/>
          <w:highlight w:val="none"/>
        </w:rPr>
        <w:instrText xml:space="preserve"> PAGEREF _Toc383175496 \h </w:instrText>
      </w:r>
      <w:r>
        <w:rPr>
          <w:color w:val="auto"/>
          <w:sz w:val="24"/>
          <w:highlight w:val="none"/>
        </w:rPr>
        <w:fldChar w:fldCharType="separate"/>
      </w:r>
      <w:r>
        <w:rPr>
          <w:color w:val="auto"/>
          <w:sz w:val="24"/>
          <w:highlight w:val="none"/>
        </w:rPr>
        <w:t>11</w:t>
      </w:r>
      <w:r>
        <w:rPr>
          <w:color w:val="auto"/>
          <w:sz w:val="24"/>
          <w:highlight w:val="none"/>
        </w:rPr>
        <w:fldChar w:fldCharType="end"/>
      </w:r>
      <w:r>
        <w:rPr>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"_Toc383175501" </w:instrText>
      </w:r>
      <w:r>
        <w:rPr>
          <w:color w:val="auto"/>
          <w:highlight w:val="none"/>
        </w:rPr>
        <w:fldChar w:fldCharType="separate"/>
      </w:r>
      <w:r>
        <w:rPr>
          <w:rFonts w:hint="eastAsia"/>
          <w:color w:val="auto"/>
          <w:sz w:val="24"/>
          <w:highlight w:val="none"/>
        </w:rPr>
        <w:t>七、其他事项</w:t>
      </w:r>
      <w:r>
        <w:rPr>
          <w:color w:val="auto"/>
          <w:sz w:val="24"/>
          <w:highlight w:val="none"/>
        </w:rPr>
        <w:tab/>
      </w:r>
      <w:r>
        <w:rPr>
          <w:color w:val="auto"/>
          <w:sz w:val="24"/>
          <w:highlight w:val="none"/>
        </w:rPr>
        <w:fldChar w:fldCharType="begin"/>
      </w:r>
      <w:r>
        <w:rPr>
          <w:color w:val="auto"/>
          <w:sz w:val="24"/>
          <w:highlight w:val="none"/>
        </w:rPr>
        <w:instrText xml:space="preserve"> PAGEREF _Toc383175501 \h </w:instrText>
      </w:r>
      <w:r>
        <w:rPr>
          <w:color w:val="auto"/>
          <w:sz w:val="24"/>
          <w:highlight w:val="none"/>
        </w:rPr>
        <w:fldChar w:fldCharType="separate"/>
      </w:r>
      <w:r>
        <w:rPr>
          <w:color w:val="auto"/>
          <w:sz w:val="24"/>
          <w:highlight w:val="none"/>
        </w:rPr>
        <w:t>12</w:t>
      </w:r>
      <w:r>
        <w:rPr>
          <w:color w:val="auto"/>
          <w:sz w:val="24"/>
          <w:highlight w:val="none"/>
        </w:rPr>
        <w:fldChar w:fldCharType="end"/>
      </w:r>
      <w:r>
        <w:rPr>
          <w:color w:val="auto"/>
          <w:sz w:val="24"/>
          <w:highlight w:val="none"/>
        </w:rPr>
        <w:fldChar w:fldCharType="end"/>
      </w:r>
    </w:p>
    <w:p>
      <w:pPr>
        <w:tabs>
          <w:tab w:val="right" w:leader="dot" w:pos="9628"/>
        </w:tabs>
        <w:spacing w:line="360" w:lineRule="auto"/>
        <w:rPr>
          <w:rFonts w:hAnsi="宋体"/>
          <w:b/>
          <w:color w:val="auto"/>
          <w:sz w:val="24"/>
          <w:highlight w:val="none"/>
        </w:rPr>
      </w:pPr>
      <w:r>
        <w:rPr>
          <w:color w:val="auto"/>
          <w:highlight w:val="none"/>
        </w:rPr>
        <w:fldChar w:fldCharType="begin"/>
      </w:r>
      <w:r>
        <w:rPr>
          <w:color w:val="auto"/>
          <w:highlight w:val="none"/>
        </w:rPr>
        <w:instrText xml:space="preserve"> HYPERLINK \l "_Toc383175506" </w:instrText>
      </w:r>
      <w:r>
        <w:rPr>
          <w:color w:val="auto"/>
          <w:highlight w:val="none"/>
        </w:rPr>
        <w:fldChar w:fldCharType="separate"/>
      </w:r>
      <w:r>
        <w:rPr>
          <w:rFonts w:hint="eastAsia" w:hAnsi="宋体"/>
          <w:b/>
          <w:color w:val="auto"/>
          <w:sz w:val="24"/>
          <w:highlight w:val="none"/>
        </w:rPr>
        <w:t>第三章合同书</w:t>
      </w:r>
      <w:bookmarkStart w:id="0" w:name="_Hlt390257556"/>
      <w:bookmarkStart w:id="1" w:name="_Hlt390257557"/>
      <w:r>
        <w:rPr>
          <w:rFonts w:hint="eastAsia" w:hAnsi="宋体"/>
          <w:b/>
          <w:color w:val="auto"/>
          <w:sz w:val="24"/>
          <w:highlight w:val="none"/>
        </w:rPr>
        <w:t>样</w:t>
      </w:r>
      <w:bookmarkEnd w:id="0"/>
      <w:bookmarkEnd w:id="1"/>
      <w:r>
        <w:rPr>
          <w:rFonts w:hint="eastAsia" w:hAnsi="宋体"/>
          <w:b/>
          <w:color w:val="auto"/>
          <w:sz w:val="24"/>
          <w:highlight w:val="none"/>
        </w:rPr>
        <w:t>式及主要条款</w:t>
      </w:r>
      <w:r>
        <w:rPr>
          <w:rFonts w:hAnsi="宋体"/>
          <w:b/>
          <w:color w:val="auto"/>
          <w:sz w:val="24"/>
          <w:highlight w:val="none"/>
        </w:rPr>
        <w:tab/>
      </w:r>
      <w:r>
        <w:rPr>
          <w:rFonts w:hAnsi="宋体"/>
          <w:b/>
          <w:color w:val="auto"/>
          <w:sz w:val="24"/>
          <w:highlight w:val="none"/>
        </w:rPr>
        <w:fldChar w:fldCharType="begin"/>
      </w:r>
      <w:r>
        <w:rPr>
          <w:rFonts w:hAnsi="宋体"/>
          <w:b/>
          <w:color w:val="auto"/>
          <w:sz w:val="24"/>
          <w:highlight w:val="none"/>
        </w:rPr>
        <w:instrText xml:space="preserve"> PAGEREF _Toc383175506 \h </w:instrText>
      </w:r>
      <w:r>
        <w:rPr>
          <w:rFonts w:hAnsi="宋体"/>
          <w:b/>
          <w:color w:val="auto"/>
          <w:sz w:val="24"/>
          <w:highlight w:val="none"/>
        </w:rPr>
        <w:fldChar w:fldCharType="separate"/>
      </w:r>
      <w:r>
        <w:rPr>
          <w:rFonts w:hAnsi="宋体"/>
          <w:b/>
          <w:color w:val="auto"/>
          <w:sz w:val="24"/>
          <w:highlight w:val="none"/>
        </w:rPr>
        <w:t>13</w:t>
      </w:r>
      <w:r>
        <w:rPr>
          <w:rFonts w:hAnsi="宋体"/>
          <w:b/>
          <w:color w:val="auto"/>
          <w:sz w:val="24"/>
          <w:highlight w:val="none"/>
        </w:rPr>
        <w:fldChar w:fldCharType="end"/>
      </w:r>
      <w:r>
        <w:rPr>
          <w:rFonts w:hAnsi="宋体"/>
          <w:b/>
          <w:color w:val="auto"/>
          <w:sz w:val="24"/>
          <w:highlight w:val="none"/>
        </w:rPr>
        <w:fldChar w:fldCharType="end"/>
      </w:r>
    </w:p>
    <w:p>
      <w:pPr>
        <w:tabs>
          <w:tab w:val="right" w:leader="dot" w:pos="9628"/>
        </w:tabs>
        <w:spacing w:line="360" w:lineRule="auto"/>
        <w:rPr>
          <w:rFonts w:hAnsi="宋体"/>
          <w:b/>
          <w:color w:val="auto"/>
          <w:sz w:val="24"/>
          <w:highlight w:val="none"/>
        </w:rPr>
      </w:pPr>
      <w:r>
        <w:rPr>
          <w:color w:val="auto"/>
          <w:highlight w:val="none"/>
        </w:rPr>
        <w:fldChar w:fldCharType="begin"/>
      </w:r>
      <w:r>
        <w:rPr>
          <w:color w:val="auto"/>
          <w:highlight w:val="none"/>
        </w:rPr>
        <w:instrText xml:space="preserve"> HYPERLINK \l "_Toc383175507" </w:instrText>
      </w:r>
      <w:r>
        <w:rPr>
          <w:color w:val="auto"/>
          <w:highlight w:val="none"/>
        </w:rPr>
        <w:fldChar w:fldCharType="separate"/>
      </w:r>
      <w:r>
        <w:rPr>
          <w:rFonts w:hint="eastAsia" w:hAnsi="宋体"/>
          <w:b/>
          <w:color w:val="auto"/>
          <w:sz w:val="24"/>
          <w:highlight w:val="none"/>
        </w:rPr>
        <w:t>第四章响应文件格式</w:t>
      </w:r>
      <w:r>
        <w:rPr>
          <w:rFonts w:hAnsi="宋体"/>
          <w:b/>
          <w:color w:val="auto"/>
          <w:sz w:val="24"/>
          <w:highlight w:val="none"/>
        </w:rPr>
        <w:tab/>
      </w:r>
      <w:r>
        <w:rPr>
          <w:rFonts w:hAnsi="宋体"/>
          <w:b/>
          <w:color w:val="auto"/>
          <w:sz w:val="24"/>
          <w:highlight w:val="none"/>
        </w:rPr>
        <w:fldChar w:fldCharType="begin"/>
      </w:r>
      <w:r>
        <w:rPr>
          <w:rFonts w:hAnsi="宋体"/>
          <w:b/>
          <w:color w:val="auto"/>
          <w:sz w:val="24"/>
          <w:highlight w:val="none"/>
        </w:rPr>
        <w:instrText xml:space="preserve"> PAGEREF _Toc383175507 \h </w:instrText>
      </w:r>
      <w:r>
        <w:rPr>
          <w:rFonts w:hAnsi="宋体"/>
          <w:b/>
          <w:color w:val="auto"/>
          <w:sz w:val="24"/>
          <w:highlight w:val="none"/>
        </w:rPr>
        <w:fldChar w:fldCharType="separate"/>
      </w:r>
      <w:r>
        <w:rPr>
          <w:rFonts w:hAnsi="宋体"/>
          <w:b/>
          <w:color w:val="auto"/>
          <w:sz w:val="24"/>
          <w:highlight w:val="none"/>
        </w:rPr>
        <w:t>13</w:t>
      </w:r>
      <w:r>
        <w:rPr>
          <w:rFonts w:hAnsi="宋体"/>
          <w:b/>
          <w:color w:val="auto"/>
          <w:sz w:val="24"/>
          <w:highlight w:val="none"/>
        </w:rPr>
        <w:fldChar w:fldCharType="end"/>
      </w:r>
      <w:r>
        <w:rPr>
          <w:rFonts w:hAnsi="宋体"/>
          <w:b/>
          <w:color w:val="auto"/>
          <w:sz w:val="24"/>
          <w:highlight w:val="none"/>
        </w:rPr>
        <w:fldChar w:fldCharType="end"/>
      </w:r>
    </w:p>
    <w:p>
      <w:pPr>
        <w:tabs>
          <w:tab w:val="right" w:leader="dot" w:pos="9628"/>
        </w:tabs>
        <w:spacing w:line="360" w:lineRule="auto"/>
        <w:rPr>
          <w:rFonts w:hAnsi="宋体"/>
          <w:b/>
          <w:color w:val="auto"/>
          <w:sz w:val="24"/>
          <w:highlight w:val="none"/>
        </w:rPr>
      </w:pPr>
      <w:r>
        <w:rPr>
          <w:color w:val="auto"/>
          <w:highlight w:val="none"/>
        </w:rPr>
        <w:fldChar w:fldCharType="begin"/>
      </w:r>
      <w:r>
        <w:rPr>
          <w:color w:val="auto"/>
          <w:highlight w:val="none"/>
        </w:rPr>
        <w:instrText xml:space="preserve"> HYPERLINK \l "_Toc383175528" </w:instrText>
      </w:r>
      <w:r>
        <w:rPr>
          <w:color w:val="auto"/>
          <w:highlight w:val="none"/>
        </w:rPr>
        <w:fldChar w:fldCharType="separate"/>
      </w:r>
      <w:r>
        <w:rPr>
          <w:rFonts w:hint="eastAsia" w:hAnsi="宋体"/>
          <w:b/>
          <w:color w:val="auto"/>
          <w:sz w:val="24"/>
          <w:highlight w:val="none"/>
        </w:rPr>
        <w:t>第五章项目需求</w:t>
      </w:r>
      <w:r>
        <w:rPr>
          <w:rFonts w:hAnsi="宋体"/>
          <w:b/>
          <w:color w:val="auto"/>
          <w:sz w:val="24"/>
          <w:highlight w:val="none"/>
        </w:rPr>
        <w:tab/>
      </w:r>
      <w:r>
        <w:rPr>
          <w:rFonts w:hAnsi="宋体"/>
          <w:b/>
          <w:color w:val="auto"/>
          <w:sz w:val="24"/>
          <w:highlight w:val="none"/>
        </w:rPr>
        <w:t>47</w:t>
      </w:r>
      <w:r>
        <w:rPr>
          <w:rFonts w:hAnsi="宋体"/>
          <w:b/>
          <w:color w:val="auto"/>
          <w:sz w:val="24"/>
          <w:highlight w:val="none"/>
        </w:rPr>
        <w:fldChar w:fldCharType="end"/>
      </w:r>
    </w:p>
    <w:p>
      <w:pPr>
        <w:tabs>
          <w:tab w:val="right" w:leader="dot" w:pos="9628"/>
        </w:tabs>
        <w:spacing w:line="360" w:lineRule="auto"/>
        <w:rPr>
          <w:rFonts w:hAnsi="宋体"/>
          <w:b/>
          <w:color w:val="auto"/>
          <w:sz w:val="24"/>
          <w:highlight w:val="none"/>
        </w:rPr>
      </w:pPr>
      <w:r>
        <w:rPr>
          <w:color w:val="auto"/>
          <w:highlight w:val="none"/>
        </w:rPr>
        <w:fldChar w:fldCharType="begin"/>
      </w:r>
      <w:r>
        <w:rPr>
          <w:color w:val="auto"/>
          <w:highlight w:val="none"/>
        </w:rPr>
        <w:instrText xml:space="preserve"> HYPERLINK \l "_Toc383175529" </w:instrText>
      </w:r>
      <w:r>
        <w:rPr>
          <w:color w:val="auto"/>
          <w:highlight w:val="none"/>
        </w:rPr>
        <w:fldChar w:fldCharType="separate"/>
      </w:r>
      <w:r>
        <w:rPr>
          <w:rFonts w:hint="eastAsia" w:hAnsi="宋体"/>
          <w:b/>
          <w:color w:val="auto"/>
          <w:sz w:val="24"/>
          <w:highlight w:val="none"/>
        </w:rPr>
        <w:t>第六章磋商程</w:t>
      </w:r>
      <w:bookmarkStart w:id="2" w:name="_Hlt418244007"/>
      <w:bookmarkStart w:id="3" w:name="_Hlt418244006"/>
      <w:r>
        <w:rPr>
          <w:rFonts w:hint="eastAsia" w:hAnsi="宋体"/>
          <w:b/>
          <w:color w:val="auto"/>
          <w:sz w:val="24"/>
          <w:highlight w:val="none"/>
        </w:rPr>
        <w:t>序</w:t>
      </w:r>
      <w:bookmarkEnd w:id="2"/>
      <w:bookmarkEnd w:id="3"/>
      <w:r>
        <w:rPr>
          <w:rFonts w:hint="eastAsia" w:hAnsi="宋体"/>
          <w:b/>
          <w:color w:val="auto"/>
          <w:sz w:val="24"/>
          <w:highlight w:val="none"/>
        </w:rPr>
        <w:t>和方法</w:t>
      </w:r>
      <w:bookmarkStart w:id="4" w:name="_Hlt390980439"/>
      <w:r>
        <w:rPr>
          <w:rFonts w:hAnsi="宋体"/>
          <w:b/>
          <w:color w:val="auto"/>
          <w:sz w:val="24"/>
          <w:highlight w:val="none"/>
        </w:rPr>
        <w:tab/>
      </w:r>
      <w:bookmarkEnd w:id="4"/>
      <w:r>
        <w:rPr>
          <w:rFonts w:hAnsi="宋体"/>
          <w:b/>
          <w:color w:val="auto"/>
          <w:sz w:val="24"/>
          <w:highlight w:val="none"/>
        </w:rPr>
        <w:t>51</w:t>
      </w:r>
      <w:r>
        <w:rPr>
          <w:rFonts w:hAnsi="宋体"/>
          <w:b/>
          <w:color w:val="auto"/>
          <w:sz w:val="24"/>
          <w:highlight w:val="none"/>
        </w:rPr>
        <w:fldChar w:fldCharType="end"/>
      </w:r>
    </w:p>
    <w:p>
      <w:pPr>
        <w:tabs>
          <w:tab w:val="right" w:leader="dot" w:pos="9515"/>
        </w:tabs>
        <w:spacing w:line="360" w:lineRule="auto"/>
        <w:ind w:left="270" w:leftChars="100" w:right="210" w:rightChars="100" w:hanging="60"/>
        <w:rPr>
          <w:color w:val="auto"/>
          <w:sz w:val="24"/>
          <w:highlight w:val="none"/>
        </w:rPr>
      </w:pPr>
      <w:r>
        <w:rPr>
          <w:color w:val="auto"/>
          <w:highlight w:val="none"/>
        </w:rPr>
        <w:fldChar w:fldCharType="begin"/>
      </w:r>
      <w:r>
        <w:rPr>
          <w:color w:val="auto"/>
          <w:highlight w:val="none"/>
        </w:rPr>
        <w:instrText xml:space="preserve"> HYPERLINK \l "_Toc383175530" </w:instrText>
      </w:r>
      <w:r>
        <w:rPr>
          <w:color w:val="auto"/>
          <w:highlight w:val="none"/>
        </w:rPr>
        <w:fldChar w:fldCharType="separate"/>
      </w:r>
      <w:r>
        <w:rPr>
          <w:rFonts w:hint="eastAsia"/>
          <w:color w:val="auto"/>
          <w:sz w:val="24"/>
          <w:highlight w:val="none"/>
        </w:rPr>
        <w:t>磋商程序和方法前附表</w:t>
      </w:r>
      <w:r>
        <w:rPr>
          <w:color w:val="auto"/>
          <w:sz w:val="24"/>
          <w:highlight w:val="none"/>
        </w:rPr>
        <w:tab/>
      </w:r>
      <w:r>
        <w:rPr>
          <w:color w:val="auto"/>
          <w:sz w:val="24"/>
          <w:highlight w:val="none"/>
        </w:rPr>
        <w:t>51</w:t>
      </w:r>
      <w:r>
        <w:rPr>
          <w:color w:val="auto"/>
          <w:sz w:val="24"/>
          <w:highlight w:val="none"/>
        </w:rPr>
        <w:fldChar w:fldCharType="end"/>
      </w:r>
    </w:p>
    <w:p>
      <w:pPr>
        <w:tabs>
          <w:tab w:val="right" w:leader="dot" w:pos="9515"/>
        </w:tabs>
        <w:spacing w:line="360" w:lineRule="auto"/>
        <w:ind w:left="840" w:leftChars="400"/>
        <w:rPr>
          <w:color w:val="auto"/>
          <w:sz w:val="24"/>
          <w:highlight w:val="none"/>
        </w:rPr>
      </w:pPr>
    </w:p>
    <w:p>
      <w:pPr>
        <w:tabs>
          <w:tab w:val="right" w:leader="dot" w:pos="9525"/>
        </w:tabs>
        <w:spacing w:line="360" w:lineRule="auto"/>
        <w:ind w:left="840" w:leftChars="400"/>
        <w:rPr>
          <w:color w:val="auto"/>
          <w:highlight w:val="none"/>
        </w:rPr>
      </w:pPr>
      <w:r>
        <w:rPr>
          <w:color w:val="auto"/>
          <w:highlight w:val="none"/>
        </w:rPr>
        <w:fldChar w:fldCharType="end"/>
      </w:r>
    </w:p>
    <w:p>
      <w:pPr>
        <w:keepNext/>
        <w:autoSpaceDE w:val="0"/>
        <w:autoSpaceDN w:val="0"/>
        <w:adjustRightInd w:val="0"/>
        <w:jc w:val="center"/>
        <w:outlineLvl w:val="0"/>
        <w:rPr>
          <w:b/>
          <w:bCs/>
          <w:color w:val="auto"/>
          <w:kern w:val="0"/>
          <w:sz w:val="32"/>
          <w:szCs w:val="20"/>
          <w:highlight w:val="none"/>
          <w:lang w:val="zh-CN"/>
        </w:rPr>
      </w:pPr>
      <w:r>
        <w:rPr>
          <w:rFonts w:eastAsia="仿宋_GB2312"/>
          <w:b/>
          <w:bCs/>
          <w:color w:val="auto"/>
          <w:kern w:val="0"/>
          <w:sz w:val="20"/>
          <w:szCs w:val="20"/>
          <w:highlight w:val="none"/>
          <w:lang w:val="zh-CN"/>
        </w:rPr>
        <w:br w:type="page"/>
      </w:r>
      <w:bookmarkStart w:id="5" w:name="_Toc383175464"/>
      <w:r>
        <w:rPr>
          <w:rFonts w:hint="eastAsia" w:hAnsi="宋体"/>
          <w:b/>
          <w:bCs/>
          <w:color w:val="auto"/>
          <w:kern w:val="0"/>
          <w:sz w:val="32"/>
          <w:szCs w:val="20"/>
          <w:highlight w:val="none"/>
          <w:lang w:val="zh-CN"/>
        </w:rPr>
        <w:t>第一章</w:t>
      </w:r>
      <w:bookmarkStart w:id="6" w:name="OLE_LINK1"/>
      <w:r>
        <w:rPr>
          <w:rFonts w:hint="eastAsia" w:hAnsi="宋体"/>
          <w:b/>
          <w:bCs/>
          <w:color w:val="auto"/>
          <w:kern w:val="0"/>
          <w:sz w:val="32"/>
          <w:szCs w:val="20"/>
          <w:highlight w:val="none"/>
          <w:lang w:val="zh-CN"/>
        </w:rPr>
        <w:t>竞争性磋商公告</w:t>
      </w:r>
      <w:bookmarkEnd w:id="5"/>
    </w:p>
    <w:p>
      <w:pPr>
        <w:keepNext/>
        <w:keepLines/>
        <w:spacing w:after="120" w:line="360" w:lineRule="auto"/>
        <w:outlineLvl w:val="1"/>
        <w:rPr>
          <w:b/>
          <w:bCs/>
          <w:color w:val="auto"/>
          <w:kern w:val="0"/>
          <w:sz w:val="24"/>
          <w:highlight w:val="none"/>
          <w:lang w:val="zh-CN"/>
        </w:rPr>
      </w:pPr>
      <w:bookmarkStart w:id="7" w:name="_Toc383175465"/>
      <w:bookmarkStart w:id="8" w:name="_Toc86124033"/>
      <w:r>
        <w:rPr>
          <w:b/>
          <w:bCs/>
          <w:color w:val="auto"/>
          <w:kern w:val="0"/>
          <w:sz w:val="24"/>
          <w:highlight w:val="none"/>
          <w:lang w:val="zh-CN"/>
        </w:rPr>
        <w:t xml:space="preserve">1. </w:t>
      </w:r>
      <w:r>
        <w:rPr>
          <w:rFonts w:hint="eastAsia" w:hAnsi="宋体"/>
          <w:b/>
          <w:bCs/>
          <w:color w:val="auto"/>
          <w:kern w:val="0"/>
          <w:sz w:val="24"/>
          <w:highlight w:val="none"/>
          <w:lang w:val="zh-CN"/>
        </w:rPr>
        <w:t>竞争性磋商条件</w:t>
      </w:r>
      <w:bookmarkEnd w:id="7"/>
      <w:bookmarkEnd w:id="8"/>
    </w:p>
    <w:p>
      <w:pPr>
        <w:spacing w:line="360" w:lineRule="auto"/>
        <w:ind w:firstLine="420" w:firstLineChars="200"/>
        <w:rPr>
          <w:bCs/>
          <w:color w:val="auto"/>
          <w:szCs w:val="21"/>
          <w:highlight w:val="none"/>
          <w:u w:val="single"/>
        </w:rPr>
      </w:pPr>
      <w:r>
        <w:rPr>
          <w:rFonts w:hint="eastAsia"/>
          <w:color w:val="auto"/>
          <w:szCs w:val="21"/>
          <w:highlight w:val="none"/>
        </w:rPr>
        <w:t>参照《政府采购竞争性磋商采购方式管理暂行办法》等有关法律、法规和规章</w:t>
      </w:r>
      <w:r>
        <w:rPr>
          <w:rFonts w:hint="eastAsia"/>
          <w:bCs/>
          <w:color w:val="auto"/>
          <w:szCs w:val="21"/>
          <w:highlight w:val="none"/>
        </w:rPr>
        <w:t>的规定</w:t>
      </w:r>
      <w:r>
        <w:rPr>
          <w:rFonts w:hint="eastAsia"/>
          <w:color w:val="auto"/>
          <w:szCs w:val="21"/>
          <w:highlight w:val="none"/>
        </w:rPr>
        <w:t>，云南省国有金融资本控股集团有限公司</w:t>
      </w:r>
      <w:r>
        <w:rPr>
          <w:rFonts w:hint="eastAsia"/>
          <w:color w:val="auto"/>
          <w:kern w:val="0"/>
          <w:szCs w:val="21"/>
          <w:highlight w:val="none"/>
        </w:rPr>
        <w:t>（以下简称</w:t>
      </w:r>
      <w:r>
        <w:rPr>
          <w:color w:val="auto"/>
          <w:kern w:val="0"/>
          <w:szCs w:val="21"/>
          <w:highlight w:val="none"/>
        </w:rPr>
        <w:t>“</w:t>
      </w:r>
      <w:r>
        <w:rPr>
          <w:rFonts w:hint="eastAsia"/>
          <w:color w:val="auto"/>
          <w:kern w:val="0"/>
          <w:szCs w:val="21"/>
          <w:highlight w:val="none"/>
        </w:rPr>
        <w:t>采购人</w:t>
      </w:r>
      <w:r>
        <w:rPr>
          <w:color w:val="auto"/>
          <w:kern w:val="0"/>
          <w:szCs w:val="21"/>
          <w:highlight w:val="none"/>
        </w:rPr>
        <w:t>”</w:t>
      </w:r>
      <w:r>
        <w:rPr>
          <w:rFonts w:hint="eastAsia"/>
          <w:color w:val="auto"/>
          <w:kern w:val="0"/>
          <w:szCs w:val="21"/>
          <w:highlight w:val="none"/>
        </w:rPr>
        <w:t>）</w:t>
      </w:r>
      <w:r>
        <w:rPr>
          <w:rFonts w:hint="eastAsia"/>
          <w:bCs/>
          <w:color w:val="auto"/>
          <w:szCs w:val="21"/>
          <w:highlight w:val="none"/>
        </w:rPr>
        <w:t>对</w:t>
      </w:r>
      <w:r>
        <w:rPr>
          <w:rFonts w:hint="eastAsia"/>
          <w:bCs/>
          <w:color w:val="auto"/>
          <w:szCs w:val="21"/>
          <w:highlight w:val="none"/>
          <w:u w:val="single"/>
        </w:rPr>
        <w:t>云南省国有金融资本控股集团有限公司2021年度</w:t>
      </w:r>
      <w:r>
        <w:rPr>
          <w:rFonts w:hint="eastAsia"/>
          <w:color w:val="auto"/>
          <w:szCs w:val="21"/>
          <w:highlight w:val="none"/>
          <w:u w:val="single"/>
        </w:rPr>
        <w:t>办公楼</w:t>
      </w:r>
      <w:r>
        <w:rPr>
          <w:rFonts w:hint="eastAsia"/>
          <w:color w:val="auto"/>
          <w:szCs w:val="21"/>
          <w:highlight w:val="none"/>
          <w:u w:val="single"/>
        </w:rPr>
        <w:t>室内</w:t>
      </w:r>
      <w:r>
        <w:rPr>
          <w:rFonts w:hint="eastAsia"/>
          <w:bCs/>
          <w:color w:val="auto"/>
          <w:szCs w:val="21"/>
          <w:highlight w:val="none"/>
          <w:u w:val="single"/>
        </w:rPr>
        <w:t>物业</w:t>
      </w:r>
      <w:r>
        <w:rPr>
          <w:rFonts w:hint="eastAsia"/>
          <w:color w:val="auto"/>
          <w:szCs w:val="21"/>
          <w:highlight w:val="none"/>
          <w:u w:val="single"/>
        </w:rPr>
        <w:t>管理</w:t>
      </w:r>
      <w:r>
        <w:rPr>
          <w:rFonts w:hint="eastAsia"/>
          <w:bCs/>
          <w:color w:val="auto"/>
          <w:szCs w:val="21"/>
          <w:highlight w:val="none"/>
          <w:u w:val="single"/>
        </w:rPr>
        <w:t>服务项目</w:t>
      </w:r>
      <w:r>
        <w:rPr>
          <w:rFonts w:hint="eastAsia"/>
          <w:bCs/>
          <w:color w:val="auto"/>
          <w:szCs w:val="21"/>
          <w:highlight w:val="none"/>
        </w:rPr>
        <w:t>采用竞争性磋商方式采购。欢迎具有相应资质和服务能力的供应商参加本次磋商。</w:t>
      </w:r>
    </w:p>
    <w:p>
      <w:pPr>
        <w:keepNext/>
        <w:keepLines/>
        <w:spacing w:after="120" w:line="360" w:lineRule="auto"/>
        <w:outlineLvl w:val="1"/>
        <w:rPr>
          <w:b/>
          <w:bCs/>
          <w:color w:val="auto"/>
          <w:kern w:val="0"/>
          <w:sz w:val="24"/>
          <w:highlight w:val="none"/>
          <w:lang w:val="zh-CN"/>
        </w:rPr>
      </w:pPr>
      <w:bookmarkStart w:id="9" w:name="_Toc86124034"/>
      <w:bookmarkStart w:id="10" w:name="_Toc383175466"/>
      <w:r>
        <w:rPr>
          <w:b/>
          <w:bCs/>
          <w:color w:val="auto"/>
          <w:kern w:val="0"/>
          <w:sz w:val="24"/>
          <w:highlight w:val="none"/>
          <w:lang w:val="zh-CN"/>
        </w:rPr>
        <w:t xml:space="preserve">2. </w:t>
      </w:r>
      <w:bookmarkEnd w:id="9"/>
      <w:r>
        <w:rPr>
          <w:rFonts w:hint="eastAsia"/>
          <w:b/>
          <w:bCs/>
          <w:color w:val="auto"/>
          <w:kern w:val="0"/>
          <w:sz w:val="24"/>
          <w:highlight w:val="none"/>
          <w:lang w:val="zh-CN"/>
        </w:rPr>
        <w:t>项目概况</w:t>
      </w:r>
      <w:bookmarkEnd w:id="10"/>
    </w:p>
    <w:p>
      <w:pPr>
        <w:spacing w:line="360" w:lineRule="auto"/>
        <w:ind w:firstLine="403" w:firstLineChars="192"/>
        <w:rPr>
          <w:rFonts w:hint="eastAsia" w:eastAsia="宋体"/>
          <w:color w:val="auto"/>
          <w:szCs w:val="21"/>
          <w:highlight w:val="none"/>
          <w:lang w:eastAsia="zh-CN"/>
        </w:rPr>
      </w:pPr>
      <w:bookmarkStart w:id="11" w:name="_Toc86124035"/>
      <w:r>
        <w:rPr>
          <w:rFonts w:hint="eastAsia"/>
          <w:color w:val="auto"/>
          <w:szCs w:val="21"/>
          <w:highlight w:val="none"/>
        </w:rPr>
        <w:t>2.1项目名称：</w:t>
      </w:r>
      <w:bookmarkStart w:id="239" w:name="_GoBack"/>
      <w:r>
        <w:rPr>
          <w:rFonts w:hint="eastAsia"/>
          <w:color w:val="auto"/>
          <w:szCs w:val="21"/>
          <w:highlight w:val="none"/>
        </w:rPr>
        <w:t>云南省国有金融资本控股集团有限公司2021年度办公楼室内物业管理服务项目</w:t>
      </w:r>
      <w:bookmarkEnd w:id="239"/>
      <w:r>
        <w:rPr>
          <w:rFonts w:hint="eastAsia"/>
          <w:color w:val="auto"/>
          <w:szCs w:val="21"/>
          <w:highlight w:val="none"/>
          <w:lang w:eastAsia="zh-CN"/>
        </w:rPr>
        <w:t>。</w:t>
      </w:r>
    </w:p>
    <w:p>
      <w:pPr>
        <w:spacing w:line="360" w:lineRule="auto"/>
        <w:ind w:firstLine="403" w:firstLineChars="192"/>
        <w:rPr>
          <w:color w:val="auto"/>
          <w:szCs w:val="21"/>
          <w:highlight w:val="none"/>
        </w:rPr>
      </w:pPr>
      <w:r>
        <w:rPr>
          <w:rFonts w:hint="eastAsia"/>
          <w:color w:val="auto"/>
          <w:szCs w:val="21"/>
          <w:highlight w:val="none"/>
        </w:rPr>
        <w:t>2.</w:t>
      </w:r>
      <w:r>
        <w:rPr>
          <w:rFonts w:hint="eastAsia"/>
          <w:color w:val="auto"/>
          <w:szCs w:val="21"/>
          <w:highlight w:val="none"/>
          <w:lang w:val="en-US" w:eastAsia="zh-CN"/>
        </w:rPr>
        <w:t>2</w:t>
      </w:r>
      <w:r>
        <w:rPr>
          <w:rFonts w:hint="eastAsia"/>
          <w:color w:val="auto"/>
          <w:szCs w:val="21"/>
          <w:highlight w:val="none"/>
        </w:rPr>
        <w:t>项目地点：云南省昆明市西山区云投财富商业广场B1栋（</w:t>
      </w:r>
      <w:r>
        <w:rPr>
          <w:rFonts w:hint="eastAsia"/>
          <w:color w:val="auto"/>
          <w:szCs w:val="21"/>
          <w:highlight w:val="none"/>
          <w:lang w:val="en-US" w:eastAsia="zh-CN"/>
        </w:rPr>
        <w:t>20</w:t>
      </w:r>
      <w:r>
        <w:rPr>
          <w:rFonts w:hint="eastAsia"/>
          <w:color w:val="auto"/>
          <w:szCs w:val="21"/>
          <w:highlight w:val="none"/>
        </w:rPr>
        <w:t>-22层），采购人指定地点。</w:t>
      </w:r>
    </w:p>
    <w:p>
      <w:pPr>
        <w:spacing w:line="360" w:lineRule="auto"/>
        <w:ind w:firstLine="403" w:firstLineChars="192"/>
        <w:rPr>
          <w:color w:val="auto"/>
          <w:szCs w:val="21"/>
          <w:highlight w:val="none"/>
        </w:rPr>
      </w:pPr>
      <w:r>
        <w:rPr>
          <w:color w:val="auto"/>
          <w:szCs w:val="21"/>
          <w:highlight w:val="none"/>
        </w:rPr>
        <w:t>2.</w:t>
      </w:r>
      <w:r>
        <w:rPr>
          <w:rFonts w:hint="eastAsia"/>
          <w:color w:val="auto"/>
          <w:szCs w:val="21"/>
          <w:highlight w:val="none"/>
          <w:lang w:val="en-US" w:eastAsia="zh-CN"/>
        </w:rPr>
        <w:t>3</w:t>
      </w:r>
      <w:r>
        <w:rPr>
          <w:rFonts w:hint="eastAsia"/>
          <w:color w:val="auto"/>
          <w:szCs w:val="21"/>
          <w:highlight w:val="none"/>
        </w:rPr>
        <w:t>服务期限：一年。</w:t>
      </w:r>
    </w:p>
    <w:p>
      <w:pPr>
        <w:spacing w:line="360" w:lineRule="auto"/>
        <w:ind w:firstLine="403" w:firstLineChars="192"/>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4</w:t>
      </w:r>
      <w:r>
        <w:rPr>
          <w:rFonts w:hint="eastAsia"/>
          <w:color w:val="auto"/>
          <w:szCs w:val="21"/>
          <w:highlight w:val="none"/>
        </w:rPr>
        <w:t>采购范围：云南省国有金融资本控股集团有限公司座落在云南省昆明市西山区云投财富商业广场B1栋（</w:t>
      </w:r>
      <w:r>
        <w:rPr>
          <w:rFonts w:hint="eastAsia"/>
          <w:color w:val="auto"/>
          <w:szCs w:val="21"/>
          <w:highlight w:val="none"/>
          <w:lang w:val="en-US" w:eastAsia="zh-CN"/>
        </w:rPr>
        <w:t>20</w:t>
      </w:r>
      <w:r>
        <w:rPr>
          <w:rFonts w:hint="eastAsia"/>
          <w:color w:val="auto"/>
          <w:szCs w:val="21"/>
          <w:highlight w:val="none"/>
        </w:rPr>
        <w:t>-22层），建筑面积面积</w:t>
      </w:r>
      <w:r>
        <w:rPr>
          <w:rFonts w:hint="eastAsia"/>
          <w:color w:val="auto"/>
          <w:szCs w:val="21"/>
          <w:highlight w:val="none"/>
          <w:lang w:val="en-US" w:eastAsia="zh-CN"/>
        </w:rPr>
        <w:t>5304.96</w:t>
      </w:r>
      <w:r>
        <w:rPr>
          <w:rFonts w:hint="eastAsia"/>
          <w:color w:val="auto"/>
          <w:szCs w:val="21"/>
          <w:highlight w:val="none"/>
        </w:rPr>
        <w:t>平方米；套内面积面积约</w:t>
      </w:r>
      <w:r>
        <w:rPr>
          <w:rFonts w:hint="eastAsia"/>
          <w:color w:val="auto"/>
          <w:szCs w:val="21"/>
          <w:highlight w:val="none"/>
          <w:lang w:val="en-US" w:eastAsia="zh-CN"/>
        </w:rPr>
        <w:t>3750</w:t>
      </w:r>
      <w:r>
        <w:rPr>
          <w:rFonts w:hint="eastAsia"/>
          <w:color w:val="auto"/>
          <w:szCs w:val="21"/>
          <w:highlight w:val="none"/>
        </w:rPr>
        <w:t>平方米。本次采购内容包含但不限于以下几项：</w:t>
      </w:r>
    </w:p>
    <w:p>
      <w:pPr>
        <w:spacing w:line="360" w:lineRule="auto"/>
        <w:ind w:firstLine="403" w:firstLineChars="192"/>
        <w:rPr>
          <w:color w:val="auto"/>
          <w:szCs w:val="21"/>
          <w:highlight w:val="none"/>
        </w:rPr>
      </w:pPr>
      <w:r>
        <w:rPr>
          <w:rFonts w:hint="eastAsia"/>
          <w:color w:val="auto"/>
          <w:szCs w:val="21"/>
          <w:highlight w:val="none"/>
        </w:rPr>
        <w:t>（1）办公区域综合前台服务；（2）会务礼仪服务；（3）环境维护服务；（4）秩序维护服务；（5）设施设备维护服务等。具体内容详见“第五章”。</w:t>
      </w:r>
    </w:p>
    <w:p>
      <w:pPr>
        <w:spacing w:line="360" w:lineRule="auto"/>
        <w:ind w:firstLine="403" w:firstLineChars="192"/>
        <w:rPr>
          <w:color w:val="auto"/>
          <w:szCs w:val="21"/>
          <w:highlight w:val="none"/>
        </w:rPr>
      </w:pPr>
      <w:r>
        <w:rPr>
          <w:rFonts w:hint="eastAsia"/>
          <w:color w:val="auto"/>
          <w:szCs w:val="21"/>
          <w:highlight w:val="none"/>
        </w:rPr>
        <w:t>2.</w:t>
      </w:r>
      <w:r>
        <w:rPr>
          <w:rFonts w:hint="eastAsia"/>
          <w:color w:val="auto"/>
          <w:szCs w:val="21"/>
          <w:highlight w:val="none"/>
          <w:lang w:val="en-US" w:eastAsia="zh-CN"/>
        </w:rPr>
        <w:t>5</w:t>
      </w:r>
      <w:r>
        <w:rPr>
          <w:rFonts w:hint="eastAsia"/>
          <w:color w:val="auto"/>
          <w:szCs w:val="21"/>
          <w:highlight w:val="none"/>
        </w:rPr>
        <w:t>资格审查方式：资格后审。</w:t>
      </w:r>
    </w:p>
    <w:p>
      <w:pPr>
        <w:spacing w:line="360" w:lineRule="auto"/>
        <w:ind w:firstLine="403" w:firstLineChars="192"/>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6</w:t>
      </w:r>
      <w:r>
        <w:rPr>
          <w:rFonts w:hint="eastAsia"/>
          <w:color w:val="auto"/>
          <w:szCs w:val="21"/>
          <w:highlight w:val="none"/>
        </w:rPr>
        <w:t>服务要求：按照国家该行业相关标准和合同约定的相关要求，为业主提供高质量管理服务，物业公司应对月、季、年中、年末分别进行考核，并能随时接受采购人的考核。</w:t>
      </w:r>
    </w:p>
    <w:p>
      <w:pPr>
        <w:spacing w:line="360" w:lineRule="auto"/>
        <w:ind w:firstLine="403" w:firstLineChars="192"/>
        <w:rPr>
          <w:rFonts w:ascii="宋体" w:hAnsi="宋体"/>
          <w:color w:val="auto"/>
          <w:highlight w:val="none"/>
        </w:rPr>
      </w:pPr>
      <w:r>
        <w:rPr>
          <w:rFonts w:hint="eastAsia"/>
          <w:color w:val="auto"/>
          <w:szCs w:val="21"/>
          <w:highlight w:val="none"/>
        </w:rPr>
        <w:t>2.</w:t>
      </w:r>
      <w:r>
        <w:rPr>
          <w:rFonts w:hint="eastAsia"/>
          <w:color w:val="auto"/>
          <w:szCs w:val="21"/>
          <w:highlight w:val="none"/>
          <w:lang w:val="en-US" w:eastAsia="zh-CN"/>
        </w:rPr>
        <w:t>7</w:t>
      </w:r>
      <w:r>
        <w:rPr>
          <w:rFonts w:hint="eastAsia"/>
          <w:color w:val="auto"/>
          <w:szCs w:val="21"/>
          <w:highlight w:val="none"/>
        </w:rPr>
        <w:t>磋商控制价：7</w:t>
      </w:r>
      <w:r>
        <w:rPr>
          <w:rFonts w:hint="eastAsia"/>
          <w:color w:val="auto"/>
          <w:szCs w:val="21"/>
          <w:highlight w:val="none"/>
          <w:lang w:val="en-US" w:eastAsia="zh-CN"/>
        </w:rPr>
        <w:t>0</w:t>
      </w:r>
      <w:r>
        <w:rPr>
          <w:rFonts w:hint="eastAsia"/>
          <w:color w:val="auto"/>
          <w:szCs w:val="21"/>
          <w:highlight w:val="none"/>
        </w:rPr>
        <w:t>.00万元。</w:t>
      </w:r>
    </w:p>
    <w:bookmarkEnd w:id="11"/>
    <w:p>
      <w:pPr>
        <w:keepNext/>
        <w:keepLines/>
        <w:spacing w:after="120" w:line="360" w:lineRule="auto"/>
        <w:outlineLvl w:val="1"/>
        <w:rPr>
          <w:rFonts w:hAnsi="宋体"/>
          <w:b/>
          <w:bCs/>
          <w:color w:val="auto"/>
          <w:kern w:val="0"/>
          <w:sz w:val="24"/>
          <w:highlight w:val="none"/>
          <w:lang w:val="zh-CN"/>
        </w:rPr>
      </w:pPr>
      <w:bookmarkStart w:id="12" w:name="_Toc383175467"/>
      <w:bookmarkStart w:id="13" w:name="_Toc86124036"/>
      <w:bookmarkStart w:id="14" w:name="_Toc383175468"/>
      <w:r>
        <w:rPr>
          <w:b/>
          <w:bCs/>
          <w:color w:val="auto"/>
          <w:kern w:val="0"/>
          <w:sz w:val="24"/>
          <w:highlight w:val="none"/>
          <w:lang w:val="zh-CN"/>
        </w:rPr>
        <w:t xml:space="preserve">3. </w:t>
      </w:r>
      <w:r>
        <w:rPr>
          <w:rFonts w:hint="eastAsia" w:hAnsi="宋体"/>
          <w:b/>
          <w:bCs/>
          <w:color w:val="auto"/>
          <w:kern w:val="0"/>
          <w:sz w:val="24"/>
          <w:highlight w:val="none"/>
          <w:lang w:val="zh-CN"/>
        </w:rPr>
        <w:t>供应商资格要求</w:t>
      </w:r>
      <w:bookmarkEnd w:id="12"/>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3.1一般要求：供应商应是中华人民共和国境内注册，具有独立承担民事责任的能力及独立履行合同的能力的独立法人（提供三证合一的营业执照）；</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信誉要求：供应商没有处于被责令停业或财产被接管、冻结、破产等状态；2017年至今没有骗取中标和严重违约及重大安全、质量问题；当前未因不良纪录被主管部门停止投标资格等情形（供应商提供承诺函或相关证明材料）；</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财务要求：供应商企业运行正常，须具有良好的商业信誉和健全的财务会计制度，提供（2017～2019年度）经审计单位或审计机构审计的财务报表或审计报告。【注：新成立企业不满三年的须提供成立至今经第三方机构审计的审计报告或财务报表（包括资产负债表、现金流量表和利润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3.4</w:t>
      </w:r>
      <w:r>
        <w:rPr>
          <w:rFonts w:hint="eastAsia" w:ascii="宋体" w:hAnsi="宋体"/>
          <w:color w:val="auto"/>
          <w:szCs w:val="21"/>
          <w:highlight w:val="none"/>
          <w:lang w:val="en-US" w:eastAsia="zh-CN"/>
        </w:rPr>
        <w:t>在</w:t>
      </w:r>
      <w:r>
        <w:rPr>
          <w:rFonts w:hint="eastAsia" w:ascii="宋体" w:hAnsi="宋体"/>
          <w:color w:val="auto"/>
          <w:szCs w:val="21"/>
          <w:highlight w:val="none"/>
        </w:rPr>
        <w:t>磋商前</w:t>
      </w:r>
      <w:r>
        <w:rPr>
          <w:rFonts w:hint="eastAsia"/>
          <w:color w:val="auto"/>
          <w:highlight w:val="none"/>
          <w:lang w:val="en-US" w:eastAsia="zh-CN"/>
        </w:rPr>
        <w:t>由供应商提交限期内的</w:t>
      </w:r>
      <w:r>
        <w:rPr>
          <w:rFonts w:hint="eastAsia" w:ascii="宋体" w:hAnsi="宋体"/>
          <w:color w:val="auto"/>
          <w:szCs w:val="21"/>
          <w:highlight w:val="none"/>
        </w:rPr>
        <w:t>“信用中国”网站（www.creditchina.gov.cn）失信被执行人、重大税收违法案件当事人名单及中国政府采购网（www.ccgp.gov.cn）“政府采购严重违法失信行为信息记录”</w:t>
      </w:r>
      <w:r>
        <w:rPr>
          <w:rFonts w:hint="eastAsia"/>
          <w:color w:val="auto"/>
          <w:highlight w:val="none"/>
          <w:lang w:val="en-US" w:eastAsia="zh-CN"/>
        </w:rPr>
        <w:t>查询结果记录（截图）</w:t>
      </w:r>
      <w:r>
        <w:rPr>
          <w:rFonts w:hint="eastAsia" w:ascii="宋体" w:hAnsi="宋体"/>
          <w:color w:val="auto"/>
          <w:szCs w:val="21"/>
          <w:highlight w:val="none"/>
        </w:rPr>
        <w:t>。查询记录为上述网站信用信息查询结果的网页截图或网页打印稿。供应商存在严重违法记录的，不得参与本项目；</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3.5法定代表人为同一个人的两个及两个以上法人，母公司、全资子公司及其控股公司，都不得在本项目中同时</w:t>
      </w:r>
      <w:r>
        <w:rPr>
          <w:rFonts w:hint="eastAsia" w:ascii="宋体" w:hAnsi="宋体"/>
          <w:color w:val="auto"/>
          <w:szCs w:val="21"/>
          <w:highlight w:val="none"/>
          <w:lang w:val="en-US" w:eastAsia="zh-CN"/>
        </w:rPr>
        <w:t>参与磋商</w:t>
      </w:r>
      <w:r>
        <w:rPr>
          <w:rFonts w:hint="eastAsia" w:ascii="宋体" w:hAnsi="宋体"/>
          <w:color w:val="auto"/>
          <w:szCs w:val="21"/>
          <w:highlight w:val="none"/>
        </w:rPr>
        <w:t>；相互间存在直接控股关系或间接控股关系或管理关系的两个及两个以上的公司，都不得在本项目中同时参与磋商；</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3.6本项目不接受联合体投标。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要求只有完全具备以上条件的供应商，才可参与磋商。如供应商为满足以上条件虚报材料，一经查实，该供应商的响应文件将作否决投标处理。</w:t>
      </w:r>
    </w:p>
    <w:p>
      <w:pPr>
        <w:keepNext/>
        <w:keepLines/>
        <w:spacing w:after="120" w:line="360" w:lineRule="auto"/>
        <w:outlineLvl w:val="1"/>
        <w:rPr>
          <w:b/>
          <w:bCs/>
          <w:color w:val="auto"/>
          <w:kern w:val="0"/>
          <w:sz w:val="24"/>
          <w:highlight w:val="none"/>
        </w:rPr>
      </w:pPr>
      <w:r>
        <w:rPr>
          <w:b/>
          <w:bCs/>
          <w:color w:val="auto"/>
          <w:kern w:val="0"/>
          <w:sz w:val="24"/>
          <w:highlight w:val="none"/>
        </w:rPr>
        <w:t xml:space="preserve">4. </w:t>
      </w:r>
      <w:r>
        <w:rPr>
          <w:rFonts w:hint="eastAsia" w:hAnsi="宋体"/>
          <w:b/>
          <w:bCs/>
          <w:color w:val="auto"/>
          <w:kern w:val="0"/>
          <w:sz w:val="24"/>
          <w:highlight w:val="none"/>
        </w:rPr>
        <w:t>磋商文件的获取</w:t>
      </w:r>
      <w:bookmarkEnd w:id="13"/>
      <w:bookmarkEnd w:id="14"/>
    </w:p>
    <w:p>
      <w:pPr>
        <w:spacing w:line="360" w:lineRule="auto"/>
        <w:ind w:firstLine="420" w:firstLineChars="200"/>
        <w:rPr>
          <w:color w:val="auto"/>
          <w:szCs w:val="21"/>
          <w:highlight w:val="none"/>
        </w:rPr>
      </w:pPr>
      <w:r>
        <w:rPr>
          <w:rFonts w:hint="eastAsia"/>
          <w:color w:val="auto"/>
          <w:szCs w:val="21"/>
          <w:highlight w:val="none"/>
        </w:rPr>
        <w:t>凡有意参加磋商者，请于2020年12月</w:t>
      </w:r>
      <w:r>
        <w:rPr>
          <w:rFonts w:hint="eastAsia"/>
          <w:color w:val="auto"/>
          <w:szCs w:val="21"/>
          <w:highlight w:val="none"/>
          <w:lang w:val="en-US" w:eastAsia="zh-CN"/>
        </w:rPr>
        <w:t>15</w:t>
      </w:r>
      <w:r>
        <w:rPr>
          <w:rFonts w:hint="eastAsia"/>
          <w:color w:val="auto"/>
          <w:szCs w:val="21"/>
          <w:highlight w:val="none"/>
        </w:rPr>
        <w:t>日起至2020年12月</w:t>
      </w:r>
      <w:r>
        <w:rPr>
          <w:rFonts w:hint="eastAsia"/>
          <w:color w:val="auto"/>
          <w:szCs w:val="21"/>
          <w:highlight w:val="none"/>
          <w:lang w:val="en-US" w:eastAsia="zh-CN"/>
        </w:rPr>
        <w:t>22</w:t>
      </w:r>
      <w:r>
        <w:rPr>
          <w:rFonts w:hint="eastAsia"/>
          <w:color w:val="auto"/>
          <w:szCs w:val="21"/>
          <w:highlight w:val="none"/>
        </w:rPr>
        <w:t>日止（法定公休日、法定节假日除外），每日上午</w:t>
      </w:r>
      <w:r>
        <w:rPr>
          <w:rFonts w:hint="eastAsia"/>
          <w:color w:val="auto"/>
          <w:szCs w:val="21"/>
          <w:highlight w:val="none"/>
          <w:lang w:eastAsia="zh-CN"/>
        </w:rPr>
        <w:t>9</w:t>
      </w:r>
      <w:r>
        <w:rPr>
          <w:rFonts w:hint="eastAsia"/>
          <w:color w:val="auto"/>
          <w:szCs w:val="21"/>
          <w:highlight w:val="none"/>
        </w:rPr>
        <w:t>时</w:t>
      </w:r>
      <w:r>
        <w:rPr>
          <w:rFonts w:hint="eastAsia"/>
          <w:color w:val="auto"/>
          <w:szCs w:val="21"/>
          <w:highlight w:val="none"/>
          <w:lang w:eastAsia="zh-CN"/>
        </w:rPr>
        <w:t>0</w:t>
      </w:r>
      <w:r>
        <w:rPr>
          <w:rFonts w:hint="eastAsia"/>
          <w:color w:val="auto"/>
          <w:szCs w:val="21"/>
          <w:highlight w:val="none"/>
        </w:rPr>
        <w:t>0分至17时00分（北京时间），登录云南省国有金融资本控股集团有限公司</w:t>
      </w:r>
      <w:r>
        <w:rPr>
          <w:rFonts w:hint="eastAsia"/>
          <w:color w:val="auto"/>
          <w:szCs w:val="21"/>
          <w:highlight w:val="none"/>
          <w:lang w:val="en-US" w:eastAsia="zh-CN"/>
        </w:rPr>
        <w:t>官网</w:t>
      </w:r>
      <w:r>
        <w:rPr>
          <w:rFonts w:hint="eastAsia"/>
          <w:color w:val="auto"/>
          <w:szCs w:val="21"/>
          <w:highlight w:val="none"/>
        </w:rPr>
        <w:t>（网址：www.ynjrkg.com)，获取电子竞争性文件及其它资料</w:t>
      </w:r>
      <w:r>
        <w:rPr>
          <w:rFonts w:hint="eastAsia"/>
          <w:color w:val="auto"/>
          <w:szCs w:val="21"/>
          <w:highlight w:val="none"/>
          <w:lang w:val="en-US" w:eastAsia="zh-CN"/>
        </w:rPr>
        <w:t>并到</w:t>
      </w:r>
      <w:r>
        <w:rPr>
          <w:rFonts w:hint="eastAsia"/>
          <w:color w:val="auto"/>
          <w:szCs w:val="21"/>
          <w:highlight w:val="none"/>
        </w:rPr>
        <w:t>云南省国有金融资本控股集团有限公司</w:t>
      </w:r>
      <w:r>
        <w:rPr>
          <w:rFonts w:hint="eastAsia"/>
          <w:color w:val="auto"/>
          <w:szCs w:val="21"/>
          <w:highlight w:val="none"/>
          <w:lang w:val="en-US" w:eastAsia="zh-CN"/>
        </w:rPr>
        <w:t>云投中心财富商业广场B1栋</w:t>
      </w:r>
      <w:r>
        <w:rPr>
          <w:rFonts w:hint="eastAsia"/>
          <w:color w:val="auto"/>
          <w:szCs w:val="21"/>
          <w:highlight w:val="none"/>
          <w:lang w:eastAsia="zh-CN"/>
        </w:rPr>
        <w:t>2</w:t>
      </w:r>
      <w:r>
        <w:rPr>
          <w:rFonts w:hint="eastAsia"/>
          <w:color w:val="auto"/>
          <w:szCs w:val="21"/>
          <w:highlight w:val="none"/>
          <w:lang w:val="en-US" w:eastAsia="zh-CN"/>
        </w:rPr>
        <w:t>1</w:t>
      </w:r>
      <w:r>
        <w:rPr>
          <w:rFonts w:hint="eastAsia"/>
          <w:color w:val="auto"/>
          <w:szCs w:val="21"/>
          <w:highlight w:val="none"/>
        </w:rPr>
        <w:t>楼</w:t>
      </w:r>
      <w:r>
        <w:rPr>
          <w:rFonts w:hint="eastAsia"/>
          <w:color w:val="auto"/>
          <w:szCs w:val="21"/>
          <w:highlight w:val="none"/>
          <w:lang w:eastAsia="zh-CN"/>
        </w:rPr>
        <w:t>2</w:t>
      </w:r>
      <w:r>
        <w:rPr>
          <w:rFonts w:hint="eastAsia"/>
          <w:color w:val="auto"/>
          <w:szCs w:val="21"/>
          <w:highlight w:val="none"/>
          <w:lang w:val="en-US" w:eastAsia="zh-CN"/>
        </w:rPr>
        <w:t>112</w:t>
      </w:r>
      <w:r>
        <w:rPr>
          <w:rFonts w:hint="eastAsia"/>
          <w:color w:val="auto"/>
          <w:szCs w:val="21"/>
          <w:highlight w:val="none"/>
        </w:rPr>
        <w:t>室</w:t>
      </w:r>
      <w:r>
        <w:rPr>
          <w:rFonts w:hint="eastAsia"/>
          <w:color w:val="auto"/>
          <w:szCs w:val="21"/>
          <w:highlight w:val="none"/>
          <w:lang w:val="en-US" w:eastAsia="zh-CN"/>
        </w:rPr>
        <w:t>进行登记</w:t>
      </w:r>
      <w:r>
        <w:rPr>
          <w:rFonts w:hint="eastAsia"/>
          <w:color w:val="auto"/>
          <w:szCs w:val="21"/>
          <w:highlight w:val="none"/>
        </w:rPr>
        <w:t>或携带营业执照复印件（加盖公章）到云南省国有金融资本控股集团有限公司</w:t>
      </w:r>
      <w:r>
        <w:rPr>
          <w:rFonts w:hint="eastAsia"/>
          <w:color w:val="auto"/>
          <w:szCs w:val="21"/>
          <w:highlight w:val="none"/>
          <w:lang w:val="en-US" w:eastAsia="zh-CN"/>
        </w:rPr>
        <w:t>云投中心财富商业广场B1栋</w:t>
      </w:r>
      <w:r>
        <w:rPr>
          <w:rFonts w:hint="eastAsia"/>
          <w:color w:val="auto"/>
          <w:szCs w:val="21"/>
          <w:highlight w:val="none"/>
          <w:lang w:eastAsia="zh-CN"/>
        </w:rPr>
        <w:t>2</w:t>
      </w:r>
      <w:r>
        <w:rPr>
          <w:rFonts w:hint="eastAsia"/>
          <w:color w:val="auto"/>
          <w:szCs w:val="21"/>
          <w:highlight w:val="none"/>
          <w:lang w:val="en-US" w:eastAsia="zh-CN"/>
        </w:rPr>
        <w:t>1</w:t>
      </w:r>
      <w:r>
        <w:rPr>
          <w:rFonts w:hint="eastAsia"/>
          <w:color w:val="auto"/>
          <w:szCs w:val="21"/>
          <w:highlight w:val="none"/>
        </w:rPr>
        <w:t>楼</w:t>
      </w:r>
      <w:r>
        <w:rPr>
          <w:rFonts w:hint="eastAsia"/>
          <w:color w:val="auto"/>
          <w:szCs w:val="21"/>
          <w:highlight w:val="none"/>
          <w:lang w:eastAsia="zh-CN"/>
        </w:rPr>
        <w:t>2</w:t>
      </w:r>
      <w:r>
        <w:rPr>
          <w:rFonts w:hint="eastAsia"/>
          <w:color w:val="auto"/>
          <w:szCs w:val="21"/>
          <w:highlight w:val="none"/>
          <w:lang w:val="en-US" w:eastAsia="zh-CN"/>
        </w:rPr>
        <w:t>112</w:t>
      </w:r>
      <w:r>
        <w:rPr>
          <w:rFonts w:hint="eastAsia"/>
          <w:color w:val="auto"/>
          <w:szCs w:val="21"/>
          <w:highlight w:val="none"/>
        </w:rPr>
        <w:t>室现场获取资料。</w:t>
      </w:r>
    </w:p>
    <w:p>
      <w:pPr>
        <w:keepNext/>
        <w:keepLines/>
        <w:spacing w:after="120" w:line="360" w:lineRule="auto"/>
        <w:outlineLvl w:val="1"/>
        <w:rPr>
          <w:b/>
          <w:bCs/>
          <w:color w:val="auto"/>
          <w:kern w:val="0"/>
          <w:sz w:val="24"/>
          <w:highlight w:val="none"/>
        </w:rPr>
      </w:pPr>
      <w:bookmarkStart w:id="15" w:name="_Toc86124037"/>
      <w:bookmarkStart w:id="16" w:name="_Toc383175469"/>
      <w:r>
        <w:rPr>
          <w:b/>
          <w:bCs/>
          <w:color w:val="auto"/>
          <w:kern w:val="0"/>
          <w:sz w:val="24"/>
          <w:highlight w:val="none"/>
        </w:rPr>
        <w:t xml:space="preserve">5. </w:t>
      </w:r>
      <w:r>
        <w:rPr>
          <w:rFonts w:hint="eastAsia" w:hAnsi="宋体"/>
          <w:b/>
          <w:bCs/>
          <w:color w:val="auto"/>
          <w:kern w:val="0"/>
          <w:sz w:val="24"/>
          <w:highlight w:val="none"/>
        </w:rPr>
        <w:t>响应文件的递交</w:t>
      </w:r>
      <w:bookmarkEnd w:id="15"/>
      <w:bookmarkEnd w:id="16"/>
    </w:p>
    <w:p>
      <w:pPr>
        <w:spacing w:line="360" w:lineRule="auto"/>
        <w:ind w:firstLine="420" w:firstLineChars="200"/>
        <w:rPr>
          <w:color w:val="auto"/>
          <w:szCs w:val="21"/>
          <w:highlight w:val="none"/>
        </w:rPr>
      </w:pPr>
      <w:bookmarkStart w:id="17" w:name="_Toc347133579"/>
      <w:bookmarkStart w:id="18" w:name="_Toc383175470"/>
      <w:r>
        <w:rPr>
          <w:rFonts w:hint="eastAsia"/>
          <w:color w:val="auto"/>
          <w:szCs w:val="21"/>
          <w:highlight w:val="none"/>
        </w:rPr>
        <w:t>5.1响应文件递交时间：2020年12月</w:t>
      </w:r>
      <w:r>
        <w:rPr>
          <w:rFonts w:hint="eastAsia"/>
          <w:color w:val="auto"/>
          <w:szCs w:val="21"/>
          <w:highlight w:val="none"/>
          <w:lang w:val="en-US" w:eastAsia="zh-CN"/>
        </w:rPr>
        <w:t>28</w:t>
      </w:r>
      <w:r>
        <w:rPr>
          <w:rFonts w:hint="eastAsia"/>
          <w:color w:val="auto"/>
          <w:szCs w:val="21"/>
          <w:highlight w:val="none"/>
        </w:rPr>
        <w:t>日09时30分至10时00分（北京时间）。</w:t>
      </w:r>
    </w:p>
    <w:p>
      <w:pPr>
        <w:spacing w:line="360" w:lineRule="auto"/>
        <w:ind w:firstLine="420" w:firstLineChars="200"/>
        <w:rPr>
          <w:color w:val="auto"/>
          <w:szCs w:val="21"/>
          <w:highlight w:val="none"/>
        </w:rPr>
      </w:pPr>
      <w:r>
        <w:rPr>
          <w:rFonts w:hint="eastAsia"/>
          <w:color w:val="auto"/>
          <w:szCs w:val="21"/>
          <w:highlight w:val="none"/>
        </w:rPr>
        <w:t>5.2提交响应文件截止时间及开启时间：2020年12月</w:t>
      </w:r>
      <w:r>
        <w:rPr>
          <w:rFonts w:hint="eastAsia"/>
          <w:color w:val="auto"/>
          <w:szCs w:val="21"/>
          <w:highlight w:val="none"/>
          <w:lang w:val="en-US" w:eastAsia="zh-CN"/>
        </w:rPr>
        <w:t>28</w:t>
      </w:r>
      <w:r>
        <w:rPr>
          <w:rFonts w:hint="eastAsia"/>
          <w:color w:val="auto"/>
          <w:szCs w:val="21"/>
          <w:highlight w:val="none"/>
        </w:rPr>
        <w:t>日10时00分（北京时间）。</w:t>
      </w:r>
    </w:p>
    <w:p>
      <w:pPr>
        <w:spacing w:line="360" w:lineRule="auto"/>
        <w:ind w:firstLine="420" w:firstLineChars="200"/>
        <w:rPr>
          <w:color w:val="auto"/>
          <w:szCs w:val="21"/>
          <w:highlight w:val="none"/>
        </w:rPr>
      </w:pPr>
      <w:r>
        <w:rPr>
          <w:rFonts w:hint="eastAsia"/>
          <w:color w:val="auto"/>
          <w:szCs w:val="21"/>
          <w:highlight w:val="none"/>
        </w:rPr>
        <w:t>提交响应文件地点及磋商地点：云南省国有金融资本控股集团有限公司</w:t>
      </w:r>
      <w:r>
        <w:rPr>
          <w:rFonts w:hint="eastAsia"/>
          <w:color w:val="auto"/>
          <w:szCs w:val="21"/>
          <w:highlight w:val="none"/>
          <w:lang w:val="en-US" w:eastAsia="zh-CN"/>
        </w:rPr>
        <w:t xml:space="preserve">云投中心财富商业广场B1栋  </w:t>
      </w:r>
      <w:r>
        <w:rPr>
          <w:rFonts w:hint="eastAsia"/>
          <w:color w:val="auto"/>
          <w:szCs w:val="21"/>
          <w:highlight w:val="none"/>
        </w:rPr>
        <w:t>楼</w:t>
      </w:r>
      <w:r>
        <w:rPr>
          <w:rFonts w:hint="eastAsia"/>
          <w:color w:val="auto"/>
          <w:szCs w:val="21"/>
          <w:highlight w:val="none"/>
          <w:lang w:val="en-US" w:eastAsia="zh-CN"/>
        </w:rPr>
        <w:t xml:space="preserve">  </w:t>
      </w:r>
      <w:r>
        <w:rPr>
          <w:rFonts w:hint="eastAsia"/>
          <w:color w:val="auto"/>
          <w:szCs w:val="21"/>
          <w:highlight w:val="none"/>
        </w:rPr>
        <w:t>室</w:t>
      </w:r>
    </w:p>
    <w:p>
      <w:pPr>
        <w:spacing w:line="360" w:lineRule="auto"/>
        <w:ind w:firstLine="420" w:firstLineChars="200"/>
        <w:rPr>
          <w:color w:val="auto"/>
          <w:szCs w:val="21"/>
          <w:highlight w:val="none"/>
        </w:rPr>
      </w:pPr>
      <w:r>
        <w:rPr>
          <w:rFonts w:hint="eastAsia"/>
          <w:color w:val="auto"/>
          <w:szCs w:val="21"/>
          <w:highlight w:val="none"/>
        </w:rPr>
        <w:t>5.3逾期送达的或者未送达指定地点的响应文件，将被拒收。</w:t>
      </w:r>
    </w:p>
    <w:p>
      <w:pPr>
        <w:keepNext/>
        <w:keepLines/>
        <w:spacing w:after="120" w:line="360" w:lineRule="auto"/>
        <w:outlineLvl w:val="1"/>
        <w:rPr>
          <w:b/>
          <w:bCs/>
          <w:color w:val="auto"/>
          <w:kern w:val="0"/>
          <w:sz w:val="24"/>
          <w:highlight w:val="none"/>
        </w:rPr>
      </w:pPr>
      <w:r>
        <w:rPr>
          <w:b/>
          <w:bCs/>
          <w:color w:val="auto"/>
          <w:kern w:val="0"/>
          <w:sz w:val="24"/>
          <w:highlight w:val="none"/>
        </w:rPr>
        <w:t>6</w:t>
      </w:r>
      <w:bookmarkStart w:id="19" w:name="_Toc304998754"/>
      <w:r>
        <w:rPr>
          <w:rFonts w:hint="eastAsia"/>
          <w:b/>
          <w:bCs/>
          <w:color w:val="auto"/>
          <w:kern w:val="0"/>
          <w:sz w:val="24"/>
          <w:highlight w:val="none"/>
        </w:rPr>
        <w:t>．</w:t>
      </w:r>
      <w:r>
        <w:rPr>
          <w:rFonts w:hint="eastAsia"/>
          <w:b/>
          <w:bCs/>
          <w:color w:val="auto"/>
          <w:kern w:val="0"/>
          <w:sz w:val="24"/>
          <w:highlight w:val="none"/>
          <w:lang w:val="zh-CN"/>
        </w:rPr>
        <w:t>发布公告的媒介</w:t>
      </w:r>
      <w:bookmarkEnd w:id="17"/>
      <w:bookmarkEnd w:id="18"/>
    </w:p>
    <w:p>
      <w:pPr>
        <w:spacing w:line="360" w:lineRule="auto"/>
        <w:ind w:firstLine="420" w:firstLineChars="200"/>
        <w:rPr>
          <w:color w:val="auto"/>
          <w:szCs w:val="21"/>
          <w:highlight w:val="none"/>
        </w:rPr>
      </w:pPr>
      <w:r>
        <w:rPr>
          <w:rFonts w:hint="eastAsia"/>
          <w:color w:val="auto"/>
          <w:szCs w:val="21"/>
          <w:highlight w:val="none"/>
        </w:rPr>
        <w:t>本次磋商公告在云南省国有金融资本控股集团有限公司</w:t>
      </w:r>
      <w:r>
        <w:rPr>
          <w:rFonts w:hint="eastAsia"/>
          <w:color w:val="auto"/>
          <w:szCs w:val="21"/>
          <w:highlight w:val="none"/>
          <w:lang w:val="en-US" w:eastAsia="zh-CN"/>
        </w:rPr>
        <w:t>官网</w:t>
      </w:r>
      <w:r>
        <w:rPr>
          <w:rFonts w:hint="eastAsia"/>
          <w:color w:val="auto"/>
          <w:szCs w:val="21"/>
          <w:highlight w:val="none"/>
        </w:rPr>
        <w:t>（网址：www.ynjrkg.com)发布，采购人对其他网站发布或转载的公告内容不承担任何责任。</w:t>
      </w:r>
    </w:p>
    <w:bookmarkEnd w:id="19"/>
    <w:p>
      <w:pPr>
        <w:spacing w:line="360" w:lineRule="auto"/>
        <w:ind w:firstLine="200"/>
        <w:rPr>
          <w:rFonts w:ascii="宋体"/>
          <w:b/>
          <w:color w:val="auto"/>
          <w:szCs w:val="21"/>
          <w:highlight w:val="none"/>
        </w:rPr>
      </w:pPr>
    </w:p>
    <w:bookmarkEnd w:id="6"/>
    <w:p>
      <w:pPr>
        <w:spacing w:line="360" w:lineRule="auto"/>
        <w:ind w:firstLine="420" w:firstLineChars="200"/>
        <w:rPr>
          <w:rFonts w:ascii="宋体" w:hAnsi="宋体"/>
          <w:b/>
          <w:bCs/>
          <w:color w:val="auto"/>
          <w:szCs w:val="21"/>
          <w:highlight w:val="none"/>
        </w:rPr>
      </w:pPr>
      <w:r>
        <w:rPr>
          <w:rFonts w:hint="eastAsia" w:ascii="宋体" w:hAnsi="宋体"/>
          <w:b/>
          <w:color w:val="auto"/>
          <w:szCs w:val="21"/>
          <w:highlight w:val="none"/>
        </w:rPr>
        <w:t>采购人：</w:t>
      </w:r>
      <w:r>
        <w:rPr>
          <w:rFonts w:hint="eastAsia" w:ascii="宋体" w:hAnsi="宋体"/>
          <w:b/>
          <w:bCs/>
          <w:color w:val="auto"/>
          <w:szCs w:val="21"/>
          <w:highlight w:val="none"/>
        </w:rPr>
        <w:t>云南省国有金融资本控股集团有限公司</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地</w:t>
      </w:r>
      <w:r>
        <w:rPr>
          <w:rFonts w:ascii="宋体" w:hAnsi="宋体"/>
          <w:bCs/>
          <w:color w:val="auto"/>
          <w:szCs w:val="21"/>
          <w:highlight w:val="none"/>
        </w:rPr>
        <w:t xml:space="preserve">  </w:t>
      </w:r>
      <w:r>
        <w:rPr>
          <w:rFonts w:hint="eastAsia" w:ascii="宋体" w:hAnsi="宋体"/>
          <w:bCs/>
          <w:color w:val="auto"/>
          <w:szCs w:val="21"/>
          <w:highlight w:val="none"/>
        </w:rPr>
        <w:t>址：昆明市西山区云投财富商业广场B1栋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联系人：杨工</w:t>
      </w:r>
    </w:p>
    <w:p>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ascii="宋体" w:hAnsi="宋体"/>
          <w:color w:val="auto"/>
          <w:szCs w:val="21"/>
          <w:highlight w:val="none"/>
        </w:rPr>
        <w:t>0871-6</w:t>
      </w:r>
      <w:r>
        <w:rPr>
          <w:rFonts w:hint="eastAsia" w:ascii="宋体" w:hAnsi="宋体"/>
          <w:color w:val="auto"/>
          <w:szCs w:val="21"/>
          <w:highlight w:val="none"/>
          <w:lang w:val="en-US" w:eastAsia="zh-CN"/>
        </w:rPr>
        <w:t>6031619 18288694939</w:t>
      </w:r>
    </w:p>
    <w:p>
      <w:pPr>
        <w:spacing w:line="360" w:lineRule="auto"/>
        <w:ind w:firstLine="407" w:firstLineChars="194"/>
        <w:rPr>
          <w:rFonts w:hint="default" w:ascii="宋体" w:hAnsi="宋体" w:eastAsia="宋体"/>
          <w:color w:val="auto"/>
          <w:szCs w:val="21"/>
          <w:highlight w:val="none"/>
          <w:lang w:val="en-US" w:eastAsia="zh-CN"/>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18288694939@163.com</w:t>
      </w:r>
    </w:p>
    <w:p>
      <w:pPr>
        <w:spacing w:line="360" w:lineRule="auto"/>
        <w:rPr>
          <w:color w:val="auto"/>
          <w:sz w:val="24"/>
          <w:highlight w:val="none"/>
        </w:rPr>
      </w:pPr>
    </w:p>
    <w:p>
      <w:pPr>
        <w:keepNext/>
        <w:autoSpaceDE w:val="0"/>
        <w:autoSpaceDN w:val="0"/>
        <w:adjustRightInd w:val="0"/>
        <w:jc w:val="center"/>
        <w:outlineLvl w:val="0"/>
        <w:rPr>
          <w:b/>
          <w:bCs/>
          <w:color w:val="auto"/>
          <w:kern w:val="0"/>
          <w:sz w:val="32"/>
          <w:szCs w:val="20"/>
          <w:highlight w:val="none"/>
          <w:lang w:val="zh-CN"/>
        </w:rPr>
      </w:pPr>
      <w:r>
        <w:rPr>
          <w:rFonts w:eastAsia="仿宋_GB2312"/>
          <w:b/>
          <w:bCs/>
          <w:color w:val="auto"/>
          <w:kern w:val="0"/>
          <w:sz w:val="32"/>
          <w:szCs w:val="20"/>
          <w:highlight w:val="none"/>
        </w:rPr>
        <w:br w:type="page"/>
      </w:r>
      <w:bookmarkStart w:id="20" w:name="_Toc383175471"/>
      <w:r>
        <w:rPr>
          <w:rFonts w:hint="eastAsia" w:hAnsi="宋体"/>
          <w:b/>
          <w:bCs/>
          <w:color w:val="auto"/>
          <w:kern w:val="0"/>
          <w:sz w:val="32"/>
          <w:szCs w:val="20"/>
          <w:highlight w:val="none"/>
          <w:lang w:val="zh-CN"/>
        </w:rPr>
        <w:t>第二章供应商须知</w:t>
      </w:r>
      <w:bookmarkEnd w:id="20"/>
    </w:p>
    <w:p>
      <w:pPr>
        <w:keepNext/>
        <w:keepLines/>
        <w:spacing w:after="120" w:line="360" w:lineRule="auto"/>
        <w:jc w:val="center"/>
        <w:outlineLvl w:val="1"/>
        <w:rPr>
          <w:b/>
          <w:bCs/>
          <w:color w:val="auto"/>
          <w:kern w:val="0"/>
          <w:sz w:val="32"/>
          <w:szCs w:val="28"/>
          <w:highlight w:val="none"/>
          <w:lang w:val="zh-CN"/>
        </w:rPr>
      </w:pPr>
      <w:bookmarkStart w:id="21" w:name="_Toc86124039"/>
      <w:bookmarkStart w:id="22" w:name="_Toc383175472"/>
      <w:r>
        <w:rPr>
          <w:rFonts w:hint="eastAsia"/>
          <w:b/>
          <w:bCs/>
          <w:color w:val="auto"/>
          <w:kern w:val="0"/>
          <w:sz w:val="32"/>
          <w:szCs w:val="28"/>
          <w:highlight w:val="none"/>
          <w:lang w:val="zh-CN"/>
        </w:rPr>
        <w:t>供应商须知前附表</w:t>
      </w:r>
      <w:bookmarkEnd w:id="21"/>
      <w:bookmarkEnd w:id="22"/>
    </w:p>
    <w:tbl>
      <w:tblPr>
        <w:tblStyle w:val="5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92"/>
        <w:gridCol w:w="1504"/>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vAlign w:val="center"/>
          </w:tcPr>
          <w:p>
            <w:pPr>
              <w:autoSpaceDE w:val="0"/>
              <w:autoSpaceDN w:val="0"/>
              <w:adjustRightInd w:val="0"/>
              <w:jc w:val="center"/>
              <w:rPr>
                <w:rFonts w:cs="Courier New"/>
                <w:b/>
                <w:color w:val="auto"/>
                <w:kern w:val="0"/>
                <w:szCs w:val="21"/>
                <w:highlight w:val="none"/>
              </w:rPr>
            </w:pPr>
            <w:r>
              <w:rPr>
                <w:rFonts w:hint="eastAsia" w:cs="Courier New"/>
                <w:b/>
                <w:color w:val="auto"/>
                <w:kern w:val="0"/>
                <w:szCs w:val="21"/>
                <w:highlight w:val="none"/>
              </w:rPr>
              <w:t>条款号</w:t>
            </w:r>
          </w:p>
        </w:tc>
        <w:tc>
          <w:tcPr>
            <w:tcW w:w="2496" w:type="dxa"/>
            <w:gridSpan w:val="2"/>
            <w:vAlign w:val="center"/>
          </w:tcPr>
          <w:p>
            <w:pPr>
              <w:autoSpaceDE w:val="0"/>
              <w:autoSpaceDN w:val="0"/>
              <w:adjustRightInd w:val="0"/>
              <w:jc w:val="center"/>
              <w:rPr>
                <w:rFonts w:cs="Courier New"/>
                <w:b/>
                <w:color w:val="auto"/>
                <w:kern w:val="0"/>
                <w:szCs w:val="21"/>
                <w:highlight w:val="none"/>
              </w:rPr>
            </w:pPr>
            <w:r>
              <w:rPr>
                <w:rFonts w:hint="eastAsia" w:cs="Courier New"/>
                <w:b/>
                <w:color w:val="auto"/>
                <w:kern w:val="0"/>
                <w:szCs w:val="21"/>
                <w:highlight w:val="none"/>
              </w:rPr>
              <w:t>条款名称</w:t>
            </w:r>
          </w:p>
        </w:tc>
        <w:tc>
          <w:tcPr>
            <w:tcW w:w="5737" w:type="dxa"/>
            <w:vAlign w:val="center"/>
          </w:tcPr>
          <w:p>
            <w:pPr>
              <w:autoSpaceDE w:val="0"/>
              <w:autoSpaceDN w:val="0"/>
              <w:adjustRightInd w:val="0"/>
              <w:jc w:val="center"/>
              <w:rPr>
                <w:rFonts w:cs="Courier New"/>
                <w:b/>
                <w:color w:val="auto"/>
                <w:kern w:val="0"/>
                <w:szCs w:val="21"/>
                <w:highlight w:val="none"/>
              </w:rPr>
            </w:pPr>
            <w:r>
              <w:rPr>
                <w:rFonts w:hint="eastAsia" w:cs="Courier New"/>
                <w:b/>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0" w:type="dxa"/>
            <w:vMerge w:val="restart"/>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1.2</w:t>
            </w:r>
          </w:p>
        </w:tc>
        <w:tc>
          <w:tcPr>
            <w:tcW w:w="2496" w:type="dxa"/>
            <w:gridSpan w:val="2"/>
            <w:vAlign w:val="center"/>
          </w:tcPr>
          <w:p>
            <w:pPr>
              <w:autoSpaceDE w:val="0"/>
              <w:autoSpaceDN w:val="0"/>
              <w:adjustRightInd w:val="0"/>
              <w:jc w:val="left"/>
              <w:rPr>
                <w:rFonts w:cs="Courier New"/>
                <w:color w:val="auto"/>
                <w:kern w:val="0"/>
                <w:szCs w:val="21"/>
                <w:highlight w:val="none"/>
                <w:u w:val="single"/>
              </w:rPr>
            </w:pPr>
            <w:r>
              <w:rPr>
                <w:rFonts w:hint="eastAsia" w:cs="Courier New"/>
                <w:bCs/>
                <w:color w:val="auto"/>
                <w:kern w:val="0"/>
                <w:szCs w:val="21"/>
                <w:highlight w:val="none"/>
              </w:rPr>
              <w:t>采购人</w:t>
            </w:r>
          </w:p>
        </w:tc>
        <w:tc>
          <w:tcPr>
            <w:tcW w:w="5737" w:type="dxa"/>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云南省国有金融资本控股集团有限公司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0" w:type="dxa"/>
            <w:vMerge w:val="continue"/>
            <w:vAlign w:val="center"/>
          </w:tcPr>
          <w:p>
            <w:pPr>
              <w:rPr>
                <w:color w:val="auto"/>
                <w:szCs w:val="21"/>
                <w:highlight w:val="none"/>
              </w:rPr>
            </w:pP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项目名称</w:t>
            </w:r>
          </w:p>
        </w:tc>
        <w:tc>
          <w:tcPr>
            <w:tcW w:w="5737" w:type="dxa"/>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云南省国有金融资本控股集团有限公司2021年度物业服务项目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3.1</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采购内容</w:t>
            </w:r>
          </w:p>
        </w:tc>
        <w:tc>
          <w:tcPr>
            <w:tcW w:w="5737" w:type="dxa"/>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详见第五章《项目需求》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4</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供应商资格要求</w:t>
            </w:r>
          </w:p>
        </w:tc>
        <w:tc>
          <w:tcPr>
            <w:tcW w:w="5737" w:type="dxa"/>
            <w:vAlign w:val="center"/>
          </w:tcPr>
          <w:p>
            <w:pPr>
              <w:rPr>
                <w:color w:val="auto"/>
                <w:szCs w:val="21"/>
                <w:highlight w:val="none"/>
              </w:rPr>
            </w:pPr>
            <w:r>
              <w:rPr>
                <w:rFonts w:hint="eastAsia"/>
                <w:color w:val="auto"/>
                <w:szCs w:val="21"/>
                <w:highlight w:val="none"/>
              </w:rPr>
              <w:t>见第一章“竞争性磋商公告”。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7.1</w:t>
            </w:r>
          </w:p>
        </w:tc>
        <w:tc>
          <w:tcPr>
            <w:tcW w:w="2496" w:type="dxa"/>
            <w:gridSpan w:val="2"/>
            <w:vAlign w:val="center"/>
          </w:tcPr>
          <w:p>
            <w:pPr>
              <w:autoSpaceDE w:val="0"/>
              <w:autoSpaceDN w:val="0"/>
              <w:snapToGrid w:val="0"/>
              <w:textAlignment w:val="bottom"/>
              <w:rPr>
                <w:color w:val="auto"/>
                <w:kern w:val="0"/>
                <w:szCs w:val="21"/>
                <w:highlight w:val="none"/>
              </w:rPr>
            </w:pPr>
            <w:r>
              <w:rPr>
                <w:rFonts w:hint="eastAsia"/>
                <w:color w:val="auto"/>
                <w:kern w:val="0"/>
                <w:szCs w:val="21"/>
                <w:highlight w:val="none"/>
              </w:rPr>
              <w:t>磋商文件澄清</w:t>
            </w:r>
            <w:r>
              <w:rPr>
                <w:rFonts w:hint="eastAsia" w:ascii="宋体" w:hAnsi="宋体"/>
                <w:color w:val="auto"/>
                <w:szCs w:val="21"/>
                <w:highlight w:val="none"/>
              </w:rPr>
              <w:t>截止时间</w:t>
            </w:r>
          </w:p>
        </w:tc>
        <w:tc>
          <w:tcPr>
            <w:tcW w:w="5737" w:type="dxa"/>
            <w:vAlign w:val="center"/>
          </w:tcPr>
          <w:p>
            <w:pPr>
              <w:autoSpaceDE w:val="0"/>
              <w:autoSpaceDN w:val="0"/>
              <w:snapToGrid w:val="0"/>
              <w:textAlignment w:val="bottom"/>
              <w:rPr>
                <w:color w:val="auto"/>
                <w:kern w:val="0"/>
                <w:szCs w:val="21"/>
                <w:highlight w:val="none"/>
              </w:rPr>
            </w:pPr>
            <w:r>
              <w:rPr>
                <w:rFonts w:hint="eastAsia"/>
                <w:color w:val="auto"/>
                <w:szCs w:val="21"/>
                <w:highlight w:val="none"/>
              </w:rPr>
              <w:t>提交响应文件截止时间</w:t>
            </w:r>
            <w:r>
              <w:rPr>
                <w:color w:val="auto"/>
                <w:szCs w:val="21"/>
                <w:highlight w:val="none"/>
                <w:u w:val="single"/>
              </w:rPr>
              <w:t>5</w:t>
            </w:r>
            <w:r>
              <w:rPr>
                <w:rFonts w:hint="eastAsia"/>
                <w:color w:val="auto"/>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7.5</w:t>
            </w:r>
          </w:p>
        </w:tc>
        <w:tc>
          <w:tcPr>
            <w:tcW w:w="2496" w:type="dxa"/>
            <w:gridSpan w:val="2"/>
            <w:vAlign w:val="center"/>
          </w:tcPr>
          <w:p>
            <w:pPr>
              <w:autoSpaceDE w:val="0"/>
              <w:autoSpaceDN w:val="0"/>
              <w:snapToGrid w:val="0"/>
              <w:textAlignment w:val="bottom"/>
              <w:rPr>
                <w:color w:val="auto"/>
                <w:kern w:val="0"/>
                <w:szCs w:val="21"/>
                <w:highlight w:val="none"/>
              </w:rPr>
            </w:pPr>
            <w:r>
              <w:rPr>
                <w:rFonts w:hint="eastAsia" w:ascii="宋体" w:hAnsi="宋体"/>
                <w:color w:val="auto"/>
                <w:szCs w:val="21"/>
                <w:highlight w:val="none"/>
              </w:rPr>
              <w:t>本项目磋商小组根据与供应商磋商情况可能实质性变动的内容</w:t>
            </w:r>
          </w:p>
        </w:tc>
        <w:tc>
          <w:tcPr>
            <w:tcW w:w="5737" w:type="dxa"/>
            <w:vAlign w:val="center"/>
          </w:tcPr>
          <w:p>
            <w:pPr>
              <w:autoSpaceDE w:val="0"/>
              <w:autoSpaceDN w:val="0"/>
              <w:snapToGrid w:val="0"/>
              <w:textAlignment w:val="bottom"/>
              <w:rPr>
                <w:color w:val="auto"/>
                <w:szCs w:val="21"/>
                <w:highlight w:val="none"/>
              </w:rPr>
            </w:pPr>
            <w:r>
              <w:rPr>
                <w:rFonts w:hint="eastAsia" w:ascii="宋体" w:hAnsi="宋体"/>
                <w:color w:val="auto"/>
                <w:szCs w:val="21"/>
                <w:highlight w:val="none"/>
              </w:rPr>
              <w:t>第五章项目需求等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9.1</w:t>
            </w:r>
          </w:p>
        </w:tc>
        <w:tc>
          <w:tcPr>
            <w:tcW w:w="992" w:type="dxa"/>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构成响应文件的其他资料</w:t>
            </w:r>
          </w:p>
        </w:tc>
        <w:tc>
          <w:tcPr>
            <w:tcW w:w="1504" w:type="dxa"/>
            <w:vAlign w:val="center"/>
          </w:tcPr>
          <w:p>
            <w:pPr>
              <w:autoSpaceDE w:val="0"/>
              <w:autoSpaceDN w:val="0"/>
              <w:snapToGrid w:val="0"/>
              <w:textAlignment w:val="bottom"/>
              <w:rPr>
                <w:color w:val="auto"/>
                <w:kern w:val="0"/>
                <w:szCs w:val="21"/>
                <w:highlight w:val="none"/>
              </w:rPr>
            </w:pPr>
            <w:r>
              <w:rPr>
                <w:rFonts w:hint="eastAsia"/>
                <w:color w:val="auto"/>
                <w:kern w:val="0"/>
                <w:szCs w:val="21"/>
                <w:highlight w:val="none"/>
              </w:rPr>
              <w:t>其他材料提供要求</w:t>
            </w:r>
          </w:p>
        </w:tc>
        <w:tc>
          <w:tcPr>
            <w:tcW w:w="5737" w:type="dxa"/>
            <w:vAlign w:val="center"/>
          </w:tcPr>
          <w:p>
            <w:pPr>
              <w:autoSpaceDE w:val="0"/>
              <w:autoSpaceDN w:val="0"/>
              <w:adjustRightInd w:val="0"/>
              <w:ind w:left="315" w:hanging="315" w:hangingChars="150"/>
              <w:jc w:val="left"/>
              <w:rPr>
                <w:rFonts w:cs="Courier New"/>
                <w:color w:val="auto"/>
                <w:kern w:val="0"/>
                <w:szCs w:val="21"/>
                <w:highlight w:val="none"/>
              </w:rPr>
            </w:pPr>
            <w:r>
              <w:rPr>
                <w:rFonts w:hint="eastAsia" w:cs="Courier New"/>
                <w:color w:val="auto"/>
                <w:kern w:val="0"/>
                <w:szCs w:val="21"/>
                <w:highlight w:val="none"/>
              </w:rPr>
              <w:t>1、售后服务承诺及售后服务机构技术力量说明；</w:t>
            </w:r>
          </w:p>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2、第五章中要求提供的其他资料。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10.1</w:t>
            </w:r>
          </w:p>
        </w:tc>
        <w:tc>
          <w:tcPr>
            <w:tcW w:w="2496" w:type="dxa"/>
            <w:gridSpan w:val="2"/>
            <w:vAlign w:val="center"/>
          </w:tcPr>
          <w:p>
            <w:pPr>
              <w:autoSpaceDE w:val="0"/>
              <w:autoSpaceDN w:val="0"/>
              <w:snapToGrid w:val="0"/>
              <w:textAlignment w:val="bottom"/>
              <w:rPr>
                <w:color w:val="auto"/>
                <w:kern w:val="0"/>
                <w:szCs w:val="21"/>
                <w:highlight w:val="none"/>
              </w:rPr>
            </w:pPr>
            <w:r>
              <w:rPr>
                <w:rFonts w:hint="eastAsia"/>
                <w:color w:val="auto"/>
                <w:kern w:val="0"/>
                <w:szCs w:val="21"/>
                <w:highlight w:val="none"/>
              </w:rPr>
              <w:t>磋商控制价</w:t>
            </w:r>
          </w:p>
        </w:tc>
        <w:tc>
          <w:tcPr>
            <w:tcW w:w="5737" w:type="dxa"/>
            <w:vAlign w:val="center"/>
          </w:tcPr>
          <w:p>
            <w:pPr>
              <w:autoSpaceDE w:val="0"/>
              <w:autoSpaceDN w:val="0"/>
              <w:snapToGrid w:val="0"/>
              <w:textAlignment w:val="bottom"/>
              <w:rPr>
                <w:bCs/>
                <w:i/>
                <w:iCs/>
                <w:color w:val="auto"/>
                <w:szCs w:val="21"/>
                <w:highlight w:val="none"/>
              </w:rPr>
            </w:pPr>
            <w:r>
              <w:rPr>
                <w:rFonts w:hint="eastAsia"/>
                <w:bCs/>
                <w:color w:val="auto"/>
                <w:szCs w:val="21"/>
                <w:highlight w:val="none"/>
              </w:rPr>
              <w:t>本项目磋商控制价为：</w:t>
            </w:r>
            <w:r>
              <w:rPr>
                <w:color w:val="auto"/>
                <w:szCs w:val="21"/>
                <w:highlight w:val="none"/>
              </w:rPr>
              <w:t>7</w:t>
            </w:r>
            <w:r>
              <w:rPr>
                <w:rFonts w:hint="eastAsia"/>
                <w:color w:val="auto"/>
                <w:szCs w:val="21"/>
                <w:highlight w:val="none"/>
                <w:lang w:val="en-US" w:eastAsia="zh-CN"/>
              </w:rPr>
              <w:t>0</w:t>
            </w:r>
            <w:r>
              <w:rPr>
                <w:color w:val="auto"/>
                <w:szCs w:val="21"/>
                <w:highlight w:val="none"/>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11.1</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有效期</w:t>
            </w:r>
          </w:p>
        </w:tc>
        <w:tc>
          <w:tcPr>
            <w:tcW w:w="5737" w:type="dxa"/>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递交响应文件的截止日期后</w:t>
            </w:r>
            <w:r>
              <w:rPr>
                <w:rFonts w:cs="Courier New"/>
                <w:color w:val="auto"/>
                <w:kern w:val="0"/>
                <w:szCs w:val="21"/>
                <w:highlight w:val="none"/>
                <w:u w:val="single"/>
              </w:rPr>
              <w:t>90</w:t>
            </w:r>
            <w:r>
              <w:rPr>
                <w:rFonts w:hint="eastAsia" w:cs="Courier New"/>
                <w:color w:val="auto"/>
                <w:kern w:val="0"/>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12.4</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响应文件份数</w:t>
            </w:r>
          </w:p>
        </w:tc>
        <w:tc>
          <w:tcPr>
            <w:tcW w:w="5737" w:type="dxa"/>
            <w:vAlign w:val="center"/>
          </w:tcPr>
          <w:p>
            <w:pPr>
              <w:autoSpaceDE w:val="0"/>
              <w:autoSpaceDN w:val="0"/>
              <w:adjustRightInd w:val="0"/>
              <w:jc w:val="left"/>
              <w:rPr>
                <w:rFonts w:ascii="宋体" w:hAnsi="宋体" w:cs="Courier New"/>
                <w:color w:val="auto"/>
                <w:kern w:val="0"/>
                <w:szCs w:val="21"/>
                <w:highlight w:val="none"/>
              </w:rPr>
            </w:pPr>
            <w:r>
              <w:rPr>
                <w:rFonts w:hint="eastAsia" w:cs="Courier New"/>
                <w:color w:val="auto"/>
                <w:kern w:val="0"/>
                <w:szCs w:val="21"/>
                <w:highlight w:val="none"/>
              </w:rPr>
              <w:t>相应文件正本</w:t>
            </w:r>
            <w:r>
              <w:rPr>
                <w:rFonts w:hint="eastAsia" w:cs="Courier New"/>
                <w:color w:val="auto"/>
                <w:kern w:val="0"/>
                <w:szCs w:val="21"/>
                <w:highlight w:val="none"/>
                <w:u w:val="single"/>
              </w:rPr>
              <w:t>壹份</w:t>
            </w:r>
            <w:r>
              <w:rPr>
                <w:rFonts w:hint="eastAsia" w:cs="Courier New"/>
                <w:color w:val="auto"/>
                <w:kern w:val="0"/>
                <w:szCs w:val="21"/>
                <w:highlight w:val="none"/>
              </w:rPr>
              <w:t>，副本</w:t>
            </w:r>
            <w:r>
              <w:rPr>
                <w:rFonts w:hint="eastAsia" w:ascii="宋体" w:hAnsi="宋体" w:cs="Courier New"/>
                <w:color w:val="auto"/>
                <w:kern w:val="0"/>
                <w:szCs w:val="21"/>
                <w:highlight w:val="none"/>
                <w:u w:val="single"/>
              </w:rPr>
              <w:t>贰份</w:t>
            </w:r>
            <w:r>
              <w:rPr>
                <w:rFonts w:hint="eastAsia" w:ascii="宋体" w:hAnsi="宋体" w:cs="Courier New"/>
                <w:color w:val="auto"/>
                <w:kern w:val="0"/>
                <w:szCs w:val="21"/>
                <w:highlight w:val="none"/>
              </w:rPr>
              <w:t>；电子版响应文件一份（</w:t>
            </w:r>
            <w:r>
              <w:rPr>
                <w:rFonts w:ascii="宋体" w:hAnsi="宋体" w:cs="Courier New"/>
                <w:color w:val="auto"/>
                <w:kern w:val="0"/>
                <w:szCs w:val="21"/>
                <w:highlight w:val="none"/>
              </w:rPr>
              <w:t>U</w:t>
            </w:r>
            <w:r>
              <w:rPr>
                <w:rFonts w:hint="eastAsia" w:ascii="宋体" w:hAnsi="宋体" w:cs="Courier New"/>
                <w:color w:val="auto"/>
                <w:kern w:val="0"/>
                <w:szCs w:val="21"/>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jc w:val="center"/>
              <w:rPr>
                <w:color w:val="auto"/>
                <w:szCs w:val="21"/>
                <w:highlight w:val="none"/>
              </w:rPr>
            </w:pPr>
            <w:r>
              <w:rPr>
                <w:color w:val="auto"/>
                <w:szCs w:val="21"/>
                <w:highlight w:val="none"/>
              </w:rPr>
              <w:t>15.1</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hAnsi="宋体" w:cs="Courier New"/>
                <w:color w:val="auto"/>
                <w:kern w:val="0"/>
                <w:szCs w:val="21"/>
                <w:highlight w:val="none"/>
              </w:rPr>
              <w:t>递交响应文件的截止时间</w:t>
            </w:r>
          </w:p>
        </w:tc>
        <w:tc>
          <w:tcPr>
            <w:tcW w:w="5737" w:type="dxa"/>
            <w:vAlign w:val="center"/>
          </w:tcPr>
          <w:p>
            <w:pPr>
              <w:autoSpaceDE w:val="0"/>
              <w:autoSpaceDN w:val="0"/>
              <w:adjustRightIn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时间：</w:t>
            </w:r>
            <w:r>
              <w:rPr>
                <w:rFonts w:hint="eastAsia" w:ascii="宋体" w:hAnsi="宋体" w:cs="Courier New"/>
                <w:color w:val="auto"/>
                <w:kern w:val="0"/>
                <w:szCs w:val="21"/>
                <w:highlight w:val="none"/>
                <w:u w:val="single"/>
              </w:rPr>
              <w:t>2020年12月</w:t>
            </w:r>
            <w:r>
              <w:rPr>
                <w:rFonts w:hint="eastAsia" w:ascii="宋体" w:hAnsi="宋体" w:cs="Courier New"/>
                <w:color w:val="auto"/>
                <w:kern w:val="0"/>
                <w:szCs w:val="21"/>
                <w:highlight w:val="none"/>
                <w:u w:val="single"/>
                <w:lang w:val="en-US" w:eastAsia="zh-CN"/>
              </w:rPr>
              <w:t xml:space="preserve">  </w:t>
            </w:r>
            <w:r>
              <w:rPr>
                <w:rFonts w:hint="eastAsia" w:ascii="宋体" w:hAnsi="宋体" w:cs="Courier New"/>
                <w:color w:val="auto"/>
                <w:kern w:val="0"/>
                <w:szCs w:val="21"/>
                <w:highlight w:val="none"/>
                <w:u w:val="single"/>
              </w:rPr>
              <w:t>日10时00分</w:t>
            </w:r>
            <w:r>
              <w:rPr>
                <w:rFonts w:hint="eastAsia" w:ascii="宋体" w:hAnsi="宋体" w:cs="Courier New"/>
                <w:color w:val="auto"/>
                <w:kern w:val="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jc w:val="center"/>
              <w:rPr>
                <w:color w:val="auto"/>
                <w:szCs w:val="21"/>
                <w:highlight w:val="none"/>
              </w:rPr>
            </w:pPr>
            <w:r>
              <w:rPr>
                <w:color w:val="auto"/>
                <w:szCs w:val="21"/>
                <w:highlight w:val="none"/>
              </w:rPr>
              <w:t>15.2</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hAnsi="宋体" w:cs="Courier New"/>
                <w:color w:val="auto"/>
                <w:kern w:val="0"/>
                <w:szCs w:val="21"/>
                <w:highlight w:val="none"/>
              </w:rPr>
              <w:t>递交响应文件地点</w:t>
            </w:r>
          </w:p>
        </w:tc>
        <w:tc>
          <w:tcPr>
            <w:tcW w:w="5737" w:type="dxa"/>
            <w:vAlign w:val="center"/>
          </w:tcPr>
          <w:p>
            <w:pPr>
              <w:autoSpaceDE/>
              <w:autoSpaceDN/>
              <w:adjustRightInd/>
              <w:spacing w:line="360" w:lineRule="auto"/>
              <w:ind w:left="0" w:firstLine="420" w:firstLineChars="200"/>
              <w:rPr>
                <w:rFonts w:hAnsi="宋体" w:cs="Courier New"/>
                <w:color w:val="auto"/>
                <w:kern w:val="0"/>
                <w:szCs w:val="21"/>
                <w:highlight w:val="none"/>
              </w:rPr>
            </w:pPr>
            <w:r>
              <w:rPr>
                <w:rFonts w:hint="eastAsia" w:hAnsi="宋体" w:cs="Courier New"/>
                <w:color w:val="auto"/>
                <w:kern w:val="0"/>
                <w:szCs w:val="21"/>
                <w:highlight w:val="none"/>
              </w:rPr>
              <w:t>递交响应文件地点：</w:t>
            </w:r>
            <w:r>
              <w:rPr>
                <w:rFonts w:hint="eastAsia"/>
                <w:color w:val="auto"/>
                <w:szCs w:val="21"/>
                <w:highlight w:val="none"/>
              </w:rPr>
              <w:t>云南省国有金融资本控股集团有限公司</w:t>
            </w:r>
            <w:r>
              <w:rPr>
                <w:rFonts w:hint="eastAsia"/>
                <w:color w:val="auto"/>
                <w:szCs w:val="21"/>
                <w:highlight w:val="none"/>
                <w:lang w:val="en-US" w:eastAsia="zh-CN"/>
              </w:rPr>
              <w:t xml:space="preserve">云投中心财富商业广场B1栋  </w:t>
            </w:r>
            <w:r>
              <w:rPr>
                <w:rFonts w:hint="eastAsia"/>
                <w:color w:val="auto"/>
                <w:szCs w:val="21"/>
                <w:highlight w:val="none"/>
              </w:rPr>
              <w:t>楼</w:t>
            </w:r>
            <w:r>
              <w:rPr>
                <w:rFonts w:hint="eastAsia"/>
                <w:color w:val="auto"/>
                <w:szCs w:val="21"/>
                <w:highlight w:val="none"/>
                <w:lang w:val="en-US" w:eastAsia="zh-CN"/>
              </w:rPr>
              <w:t xml:space="preserve">  </w:t>
            </w:r>
            <w:r>
              <w:rPr>
                <w:rFonts w:hint="eastAsia"/>
                <w:color w:val="auto"/>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60" w:type="dxa"/>
            <w:vAlign w:val="center"/>
          </w:tcPr>
          <w:p>
            <w:pPr>
              <w:jc w:val="center"/>
              <w:rPr>
                <w:color w:val="auto"/>
                <w:szCs w:val="21"/>
                <w:highlight w:val="none"/>
              </w:rPr>
            </w:pPr>
            <w:r>
              <w:rPr>
                <w:color w:val="auto"/>
                <w:szCs w:val="21"/>
                <w:highlight w:val="none"/>
              </w:rPr>
              <w:t>15.3</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hAnsi="宋体" w:cs="Courier New"/>
                <w:color w:val="auto"/>
                <w:kern w:val="0"/>
                <w:szCs w:val="21"/>
                <w:highlight w:val="none"/>
              </w:rPr>
              <w:t>是否退还响应文件</w:t>
            </w:r>
          </w:p>
        </w:tc>
        <w:tc>
          <w:tcPr>
            <w:tcW w:w="5737" w:type="dxa"/>
            <w:vAlign w:val="center"/>
          </w:tcPr>
          <w:p>
            <w:pPr>
              <w:autoSpaceDE w:val="0"/>
              <w:autoSpaceDN w:val="0"/>
              <w:adjustRightIn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16.1</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磋商时间和地点</w:t>
            </w:r>
          </w:p>
        </w:tc>
        <w:tc>
          <w:tcPr>
            <w:tcW w:w="5737" w:type="dxa"/>
            <w:vAlign w:val="center"/>
          </w:tcPr>
          <w:p>
            <w:pPr>
              <w:autoSpaceDE w:val="0"/>
              <w:autoSpaceDN w:val="0"/>
              <w:adjustRightInd w:val="0"/>
              <w:rPr>
                <w:rFonts w:cs="Courier New"/>
                <w:color w:val="auto"/>
                <w:kern w:val="0"/>
                <w:szCs w:val="21"/>
                <w:highlight w:val="none"/>
              </w:rPr>
            </w:pPr>
            <w:r>
              <w:rPr>
                <w:rFonts w:hint="eastAsia" w:cs="Courier New"/>
                <w:color w:val="auto"/>
                <w:kern w:val="0"/>
                <w:szCs w:val="21"/>
                <w:highlight w:val="none"/>
              </w:rPr>
              <w:t>磋商时间：同“递交响应文件的截止时间”</w:t>
            </w:r>
          </w:p>
          <w:p>
            <w:pPr>
              <w:autoSpaceDE w:val="0"/>
              <w:autoSpaceDN w:val="0"/>
              <w:adjustRightInd w:val="0"/>
              <w:jc w:val="left"/>
              <w:rPr>
                <w:rFonts w:hAnsi="宋体" w:cs="Courier New"/>
                <w:color w:val="auto"/>
                <w:kern w:val="0"/>
                <w:szCs w:val="21"/>
                <w:highlight w:val="none"/>
              </w:rPr>
            </w:pPr>
            <w:r>
              <w:rPr>
                <w:rFonts w:hint="eastAsia" w:cs="Courier New"/>
                <w:color w:val="auto"/>
                <w:kern w:val="0"/>
                <w:szCs w:val="21"/>
                <w:highlight w:val="none"/>
              </w:rPr>
              <w:t>磋商地点：同“递交响应文件地点”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60" w:type="dxa"/>
            <w:vMerge w:val="restart"/>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16.4</w:t>
            </w:r>
          </w:p>
        </w:tc>
        <w:tc>
          <w:tcPr>
            <w:tcW w:w="2496" w:type="dxa"/>
            <w:gridSpan w:val="2"/>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磋商程序和方法</w:t>
            </w:r>
          </w:p>
        </w:tc>
        <w:tc>
          <w:tcPr>
            <w:tcW w:w="5737" w:type="dxa"/>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Merge w:val="continue"/>
            <w:vAlign w:val="center"/>
          </w:tcPr>
          <w:p>
            <w:pPr>
              <w:autoSpaceDE w:val="0"/>
              <w:autoSpaceDN w:val="0"/>
              <w:adjustRightInd w:val="0"/>
              <w:jc w:val="center"/>
              <w:rPr>
                <w:rFonts w:cs="Courier New"/>
                <w:color w:val="auto"/>
                <w:kern w:val="0"/>
                <w:szCs w:val="21"/>
                <w:highlight w:val="none"/>
              </w:rPr>
            </w:pPr>
          </w:p>
        </w:tc>
        <w:tc>
          <w:tcPr>
            <w:tcW w:w="8233" w:type="dxa"/>
            <w:gridSpan w:val="3"/>
            <w:vAlign w:val="center"/>
          </w:tcPr>
          <w:p>
            <w:pPr>
              <w:autoSpaceDE w:val="0"/>
              <w:autoSpaceDN w:val="0"/>
              <w:adjustRightInd w:val="0"/>
              <w:jc w:val="left"/>
              <w:rPr>
                <w:rFonts w:cs="Courier New"/>
                <w:b/>
                <w:color w:val="auto"/>
                <w:kern w:val="0"/>
                <w:szCs w:val="21"/>
                <w:highlight w:val="none"/>
                <w:u w:val="single"/>
              </w:rPr>
            </w:pPr>
            <w:r>
              <w:rPr>
                <w:rFonts w:hint="eastAsia" w:cs="Courier New"/>
                <w:b/>
                <w:color w:val="auto"/>
                <w:kern w:val="0"/>
                <w:szCs w:val="21"/>
                <w:highlight w:val="none"/>
                <w:u w:val="single"/>
              </w:rPr>
              <w:t>第六章</w:t>
            </w:r>
            <w:r>
              <w:rPr>
                <w:rFonts w:cs="Courier New"/>
                <w:b/>
                <w:color w:val="auto"/>
                <w:kern w:val="0"/>
                <w:szCs w:val="21"/>
                <w:highlight w:val="none"/>
                <w:u w:val="single"/>
              </w:rPr>
              <w:t>“</w:t>
            </w:r>
            <w:r>
              <w:rPr>
                <w:rFonts w:hint="eastAsia" w:cs="Courier New"/>
                <w:b/>
                <w:color w:val="auto"/>
                <w:kern w:val="0"/>
                <w:szCs w:val="21"/>
                <w:highlight w:val="none"/>
                <w:u w:val="single"/>
              </w:rPr>
              <w:t>磋商程序和方法</w:t>
            </w:r>
            <w:r>
              <w:rPr>
                <w:rFonts w:cs="Courier New"/>
                <w:b/>
                <w:color w:val="auto"/>
                <w:kern w:val="0"/>
                <w:szCs w:val="21"/>
                <w:highlight w:val="none"/>
                <w:u w:val="single"/>
              </w:rPr>
              <w:t>”</w:t>
            </w:r>
            <w:r>
              <w:rPr>
                <w:rFonts w:hint="eastAsia" w:cs="Courier New"/>
                <w:b/>
                <w:color w:val="auto"/>
                <w:kern w:val="0"/>
                <w:szCs w:val="21"/>
                <w:highlight w:val="none"/>
                <w:u w:val="single"/>
              </w:rPr>
              <w:t>第</w:t>
            </w:r>
            <w:r>
              <w:rPr>
                <w:rFonts w:cs="Courier New"/>
                <w:b/>
                <w:color w:val="auto"/>
                <w:kern w:val="0"/>
                <w:szCs w:val="21"/>
                <w:highlight w:val="none"/>
                <w:u w:val="single"/>
              </w:rPr>
              <w:t>2.1</w:t>
            </w:r>
            <w:r>
              <w:rPr>
                <w:rFonts w:hint="eastAsia" w:cs="Courier New"/>
                <w:b/>
                <w:color w:val="auto"/>
                <w:kern w:val="0"/>
                <w:szCs w:val="21"/>
                <w:highlight w:val="none"/>
                <w:u w:val="single"/>
              </w:rPr>
              <w:t>款资格审查标准规定的内容，为参加磋商的供应商必须具备的资格条件，凡有一条不满足的供应商不再参与磋商。请各参加磋商的供应商仔细阅读资格审查标准。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25.1</w:t>
            </w:r>
          </w:p>
        </w:tc>
        <w:tc>
          <w:tcPr>
            <w:tcW w:w="8233" w:type="dxa"/>
            <w:gridSpan w:val="3"/>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hint="eastAsia" w:cs="Courier New"/>
                <w:color w:val="auto"/>
                <w:kern w:val="0"/>
                <w:szCs w:val="21"/>
                <w:highlight w:val="none"/>
              </w:rPr>
              <w:t>（</w:t>
            </w:r>
            <w:r>
              <w:rPr>
                <w:rFonts w:cs="Courier New"/>
                <w:color w:val="auto"/>
                <w:kern w:val="0"/>
                <w:szCs w:val="21"/>
                <w:highlight w:val="none"/>
              </w:rPr>
              <w:t>1</w:t>
            </w:r>
            <w:r>
              <w:rPr>
                <w:rFonts w:hint="eastAsia" w:cs="Courier New"/>
                <w:color w:val="auto"/>
                <w:kern w:val="0"/>
                <w:szCs w:val="21"/>
                <w:highlight w:val="none"/>
              </w:rPr>
              <w:t>）</w:t>
            </w:r>
          </w:p>
        </w:tc>
        <w:tc>
          <w:tcPr>
            <w:tcW w:w="8233" w:type="dxa"/>
            <w:gridSpan w:val="3"/>
            <w:vAlign w:val="center"/>
          </w:tcPr>
          <w:p>
            <w:pPr>
              <w:autoSpaceDE w:val="0"/>
              <w:autoSpaceDN w:val="0"/>
              <w:adjustRightInd w:val="0"/>
              <w:spacing w:line="360" w:lineRule="exact"/>
              <w:ind w:firstLine="210" w:firstLineChars="100"/>
              <w:jc w:val="left"/>
              <w:rPr>
                <w:rFonts w:cs="Courier New"/>
                <w:color w:val="auto"/>
                <w:kern w:val="0"/>
                <w:szCs w:val="21"/>
                <w:highlight w:val="none"/>
              </w:rPr>
            </w:pPr>
            <w:r>
              <w:rPr>
                <w:rFonts w:hint="eastAsia" w:cs="Courier New"/>
                <w:color w:val="auto"/>
                <w:kern w:val="0"/>
                <w:szCs w:val="21"/>
                <w:highlight w:val="none"/>
              </w:rPr>
              <w:t>递交响应文件时，供应商应提交核验的证照：</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ascii="宋体" w:hAnsi="宋体" w:cs="Courier New"/>
                <w:color w:val="auto"/>
                <w:kern w:val="0"/>
                <w:szCs w:val="21"/>
                <w:highlight w:val="none"/>
              </w:rPr>
              <w:t>1.</w:t>
            </w:r>
            <w:r>
              <w:rPr>
                <w:rFonts w:hint="eastAsia" w:ascii="宋体" w:hAnsi="宋体" w:cs="Courier New"/>
                <w:color w:val="auto"/>
                <w:kern w:val="0"/>
                <w:szCs w:val="21"/>
                <w:highlight w:val="none"/>
              </w:rPr>
              <w:t>营业执照：加盖单位公章的复印件</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ascii="宋体" w:hAnsi="宋体" w:cs="Courier New"/>
                <w:color w:val="auto"/>
                <w:kern w:val="0"/>
                <w:szCs w:val="21"/>
                <w:highlight w:val="none"/>
              </w:rPr>
              <w:t>2.</w:t>
            </w:r>
            <w:r>
              <w:rPr>
                <w:rFonts w:hint="eastAsia" w:ascii="宋体" w:hAnsi="宋体" w:cs="Courier New"/>
                <w:color w:val="auto"/>
                <w:kern w:val="0"/>
                <w:szCs w:val="21"/>
                <w:highlight w:val="none"/>
              </w:rPr>
              <w:t>法定代表人磋商时，需提供：</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hint="eastAsia" w:ascii="宋体" w:hAnsi="宋体" w:cs="Courier New"/>
                <w:color w:val="auto"/>
                <w:kern w:val="0"/>
                <w:szCs w:val="21"/>
                <w:highlight w:val="none"/>
              </w:rPr>
              <w:t>①法定代表人身份证明书（原件）</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hint="eastAsia" w:ascii="宋体" w:hAnsi="宋体" w:cs="Courier New"/>
                <w:color w:val="auto"/>
                <w:kern w:val="0"/>
                <w:szCs w:val="21"/>
                <w:highlight w:val="none"/>
              </w:rPr>
              <w:t>②法定代表人身份证（原件）</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授权委托代理人磋商时，需提供：</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hint="eastAsia" w:ascii="宋体" w:hAnsi="宋体" w:cs="Courier New"/>
                <w:color w:val="auto"/>
                <w:kern w:val="0"/>
                <w:szCs w:val="21"/>
                <w:highlight w:val="none"/>
              </w:rPr>
              <w:t>①法定代表人身份证明书（原件）</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hint="eastAsia" w:ascii="宋体" w:hAnsi="宋体" w:cs="Courier New"/>
                <w:color w:val="auto"/>
                <w:kern w:val="0"/>
                <w:szCs w:val="21"/>
                <w:highlight w:val="none"/>
              </w:rPr>
              <w:t>②法定代表人授权委托书（原件）</w:t>
            </w:r>
          </w:p>
          <w:p>
            <w:pPr>
              <w:autoSpaceDE w:val="0"/>
              <w:autoSpaceDN w:val="0"/>
              <w:adjustRightInd w:val="0"/>
              <w:spacing w:line="360" w:lineRule="exact"/>
              <w:ind w:firstLine="210" w:firstLineChars="100"/>
              <w:jc w:val="left"/>
              <w:rPr>
                <w:rFonts w:ascii="宋体" w:hAnsi="宋体" w:cs="Courier New"/>
                <w:color w:val="auto"/>
                <w:kern w:val="0"/>
                <w:szCs w:val="21"/>
                <w:highlight w:val="none"/>
              </w:rPr>
            </w:pPr>
            <w:r>
              <w:rPr>
                <w:rFonts w:hint="eastAsia" w:ascii="宋体" w:hAnsi="宋体" w:cs="Courier New"/>
                <w:color w:val="auto"/>
                <w:kern w:val="0"/>
                <w:szCs w:val="21"/>
                <w:highlight w:val="none"/>
              </w:rPr>
              <w:t>③授权委托代理人身份证（原件）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hint="eastAsia" w:cs="Courier New"/>
                <w:color w:val="auto"/>
                <w:kern w:val="0"/>
                <w:szCs w:val="21"/>
                <w:highlight w:val="none"/>
              </w:rPr>
              <w:t>（2）</w:t>
            </w:r>
          </w:p>
        </w:tc>
        <w:tc>
          <w:tcPr>
            <w:tcW w:w="8233" w:type="dxa"/>
            <w:gridSpan w:val="3"/>
            <w:vAlign w:val="center"/>
          </w:tcPr>
          <w:p>
            <w:pPr>
              <w:autoSpaceDE w:val="0"/>
              <w:autoSpaceDN w:val="0"/>
              <w:adjustRightInd w:val="0"/>
              <w:jc w:val="left"/>
              <w:rPr>
                <w:rFonts w:cs="Courier New"/>
                <w:color w:val="auto"/>
                <w:kern w:val="0"/>
                <w:szCs w:val="21"/>
                <w:highlight w:val="none"/>
              </w:rPr>
            </w:pPr>
            <w:r>
              <w:rPr>
                <w:rFonts w:hint="eastAsia" w:cs="Courier New"/>
                <w:color w:val="auto"/>
                <w:kern w:val="0"/>
                <w:szCs w:val="21"/>
                <w:highlight w:val="none"/>
              </w:rPr>
              <w:t>磋商报价方式：供应商根据自身实力及市场行情，结合本磋商文件工作内容及控制价自行填报包干价，合同一旦签订，此价格在合同实施期间将不因市场价格等的变化而调整。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hint="eastAsia" w:cs="Courier New"/>
                <w:color w:val="auto"/>
                <w:kern w:val="0"/>
                <w:szCs w:val="21"/>
                <w:highlight w:val="none"/>
              </w:rPr>
              <w:t>（</w:t>
            </w:r>
            <w:r>
              <w:rPr>
                <w:rFonts w:hint="eastAsia" w:cs="Courier New"/>
                <w:color w:val="auto"/>
                <w:kern w:val="0"/>
                <w:szCs w:val="21"/>
                <w:highlight w:val="none"/>
                <w:lang w:val="en-US" w:eastAsia="zh-CN"/>
              </w:rPr>
              <w:t>3</w:t>
            </w:r>
            <w:r>
              <w:rPr>
                <w:rFonts w:hint="eastAsia" w:cs="Courier New"/>
                <w:color w:val="auto"/>
                <w:kern w:val="0"/>
                <w:szCs w:val="21"/>
                <w:highlight w:val="none"/>
              </w:rPr>
              <w:t>）</w:t>
            </w:r>
          </w:p>
        </w:tc>
        <w:tc>
          <w:tcPr>
            <w:tcW w:w="8233" w:type="dxa"/>
            <w:gridSpan w:val="3"/>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本项目不组织集中踏勘，但供应商可自行对项目现场和周围环境进行踏勘，以获取编制响应文件和签署合同所需的资料。踏勘现场所发生的费用及其一切风险由供应商自行承担。因供应商自身原因未考虑到的价格风险，由供应商自行承担，合同结算时对该部分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cs="Courier New"/>
                <w:color w:val="auto"/>
                <w:kern w:val="0"/>
                <w:szCs w:val="21"/>
                <w:highlight w:val="none"/>
              </w:rPr>
              <w:t>(</w:t>
            </w:r>
            <w:r>
              <w:rPr>
                <w:rFonts w:hint="eastAsia" w:cs="Courier New"/>
                <w:color w:val="auto"/>
                <w:kern w:val="0"/>
                <w:szCs w:val="21"/>
                <w:highlight w:val="none"/>
                <w:lang w:val="en-US" w:eastAsia="zh-CN"/>
              </w:rPr>
              <w:t>4</w:t>
            </w:r>
            <w:r>
              <w:rPr>
                <w:rFonts w:cs="Courier New"/>
                <w:color w:val="auto"/>
                <w:kern w:val="0"/>
                <w:szCs w:val="21"/>
                <w:highlight w:val="none"/>
              </w:rPr>
              <w:t>)</w:t>
            </w:r>
          </w:p>
        </w:tc>
        <w:tc>
          <w:tcPr>
            <w:tcW w:w="8233" w:type="dxa"/>
            <w:gridSpan w:val="3"/>
            <w:vAlign w:val="center"/>
          </w:tcPr>
          <w:p>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本次采购对未成交单位响应文件中的技术成果不给予经济补偿。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vAlign w:val="center"/>
          </w:tcPr>
          <w:p>
            <w:pPr>
              <w:autoSpaceDE w:val="0"/>
              <w:autoSpaceDN w:val="0"/>
              <w:adjustRightInd w:val="0"/>
              <w:jc w:val="center"/>
              <w:rPr>
                <w:rFonts w:cs="Courier New"/>
                <w:color w:val="auto"/>
                <w:kern w:val="0"/>
                <w:szCs w:val="21"/>
                <w:highlight w:val="none"/>
              </w:rPr>
            </w:pPr>
            <w:r>
              <w:rPr>
                <w:rFonts w:hint="eastAsia" w:cs="Courier New"/>
                <w:color w:val="auto"/>
                <w:kern w:val="0"/>
                <w:szCs w:val="21"/>
                <w:highlight w:val="none"/>
              </w:rPr>
              <w:t>（</w:t>
            </w:r>
            <w:r>
              <w:rPr>
                <w:rFonts w:hint="eastAsia" w:cs="Courier New"/>
                <w:color w:val="auto"/>
                <w:kern w:val="0"/>
                <w:szCs w:val="21"/>
                <w:highlight w:val="none"/>
                <w:lang w:val="en-US" w:eastAsia="zh-CN"/>
              </w:rPr>
              <w:t>5</w:t>
            </w:r>
            <w:r>
              <w:rPr>
                <w:rFonts w:hint="eastAsia" w:cs="Courier New"/>
                <w:color w:val="auto"/>
                <w:kern w:val="0"/>
                <w:szCs w:val="21"/>
                <w:highlight w:val="none"/>
              </w:rPr>
              <w:t>）</w:t>
            </w:r>
          </w:p>
        </w:tc>
        <w:tc>
          <w:tcPr>
            <w:tcW w:w="8233" w:type="dxa"/>
            <w:gridSpan w:val="3"/>
            <w:vAlign w:val="center"/>
          </w:tcPr>
          <w:p>
            <w:pPr>
              <w:autoSpaceDE w:val="0"/>
              <w:autoSpaceDN w:val="0"/>
              <w:adjustRightInd w:val="0"/>
              <w:ind w:firstLine="210" w:firstLineChars="100"/>
              <w:jc w:val="left"/>
              <w:rPr>
                <w:rFonts w:ascii="宋体" w:hAnsi="宋体"/>
                <w:color w:val="auto"/>
                <w:szCs w:val="21"/>
                <w:highlight w:val="none"/>
              </w:rPr>
            </w:pPr>
            <w:r>
              <w:rPr>
                <w:rFonts w:hint="eastAsia" w:ascii="宋体" w:hAnsi="宋体"/>
                <w:color w:val="auto"/>
                <w:szCs w:val="21"/>
                <w:highlight w:val="none"/>
              </w:rPr>
              <w:t>供应商在响应文件中提供的证明材料复印件，成交后采购人有权要求其提供相关原件进行核对。</w:t>
            </w:r>
          </w:p>
        </w:tc>
      </w:tr>
    </w:tbl>
    <w:p>
      <w:pPr>
        <w:spacing w:line="360" w:lineRule="auto"/>
        <w:rPr>
          <w:b/>
          <w:bCs/>
          <w:color w:val="auto"/>
          <w:kern w:val="0"/>
          <w:sz w:val="32"/>
          <w:szCs w:val="28"/>
          <w:highlight w:val="none"/>
          <w:lang w:val="zh-CN"/>
        </w:rPr>
      </w:pPr>
      <w:bookmarkStart w:id="23" w:name="_Toc86124040"/>
      <w:r>
        <w:rPr>
          <w:color w:val="auto"/>
          <w:highlight w:val="none"/>
        </w:rPr>
        <w:br w:type="page"/>
      </w:r>
      <w:bookmarkStart w:id="24" w:name="_Toc383175473"/>
      <w:r>
        <w:rPr>
          <w:rFonts w:hint="eastAsia"/>
          <w:b/>
          <w:bCs/>
          <w:color w:val="auto"/>
          <w:kern w:val="0"/>
          <w:sz w:val="32"/>
          <w:szCs w:val="28"/>
          <w:highlight w:val="none"/>
          <w:lang w:val="zh-CN"/>
        </w:rPr>
        <w:t>一、总则</w:t>
      </w:r>
      <w:bookmarkEnd w:id="23"/>
      <w:bookmarkEnd w:id="24"/>
    </w:p>
    <w:p>
      <w:pPr>
        <w:keepNext/>
        <w:keepLines/>
        <w:numPr>
          <w:ilvl w:val="0"/>
          <w:numId w:val="4"/>
        </w:numPr>
        <w:spacing w:line="360" w:lineRule="auto"/>
        <w:outlineLvl w:val="2"/>
        <w:rPr>
          <w:b/>
          <w:bCs/>
          <w:color w:val="auto"/>
          <w:kern w:val="0"/>
          <w:sz w:val="32"/>
          <w:highlight w:val="none"/>
          <w:lang w:val="zh-CN"/>
        </w:rPr>
      </w:pPr>
      <w:bookmarkStart w:id="25" w:name="_Toc383175276"/>
      <w:bookmarkStart w:id="26" w:name="_Toc329810186"/>
      <w:bookmarkStart w:id="27" w:name="_Toc383175052"/>
      <w:bookmarkStart w:id="28" w:name="_Toc383175474"/>
      <w:r>
        <w:rPr>
          <w:rFonts w:hint="eastAsia"/>
          <w:b/>
          <w:bCs/>
          <w:color w:val="auto"/>
          <w:kern w:val="0"/>
          <w:sz w:val="32"/>
          <w:highlight w:val="none"/>
          <w:lang w:val="zh-CN"/>
        </w:rPr>
        <w:t>项目概况</w:t>
      </w:r>
      <w:bookmarkEnd w:id="25"/>
      <w:bookmarkEnd w:id="26"/>
      <w:bookmarkEnd w:id="27"/>
      <w:bookmarkEnd w:id="28"/>
    </w:p>
    <w:p>
      <w:pPr>
        <w:spacing w:line="360" w:lineRule="auto"/>
        <w:ind w:firstLine="420" w:firstLineChars="200"/>
        <w:jc w:val="left"/>
        <w:rPr>
          <w:color w:val="auto"/>
          <w:szCs w:val="21"/>
          <w:highlight w:val="none"/>
        </w:rPr>
      </w:pPr>
      <w:r>
        <w:rPr>
          <w:color w:val="auto"/>
          <w:szCs w:val="21"/>
          <w:highlight w:val="none"/>
        </w:rPr>
        <w:t xml:space="preserve">1.1 </w:t>
      </w:r>
      <w:r>
        <w:rPr>
          <w:rFonts w:hint="eastAsia"/>
          <w:color w:val="auto"/>
          <w:szCs w:val="21"/>
          <w:highlight w:val="none"/>
        </w:rPr>
        <w:t>参照《政府采购竞争性磋商采购方式管理暂行办法》等有关法律、法规和规章的规定，现对本次服务采购进行竞争性磋商采购。</w:t>
      </w:r>
    </w:p>
    <w:p>
      <w:pPr>
        <w:spacing w:line="360" w:lineRule="auto"/>
        <w:ind w:firstLine="420" w:firstLineChars="200"/>
        <w:jc w:val="left"/>
        <w:rPr>
          <w:color w:val="auto"/>
          <w:szCs w:val="21"/>
          <w:highlight w:val="none"/>
        </w:rPr>
      </w:pPr>
      <w:r>
        <w:rPr>
          <w:color w:val="auto"/>
          <w:szCs w:val="21"/>
          <w:highlight w:val="none"/>
        </w:rPr>
        <w:t xml:space="preserve">1.2 </w:t>
      </w:r>
      <w:r>
        <w:rPr>
          <w:rFonts w:hint="eastAsia"/>
          <w:color w:val="auto"/>
          <w:szCs w:val="21"/>
          <w:highlight w:val="none"/>
        </w:rPr>
        <w:t>本项目采购人、项目名称：见</w:t>
      </w:r>
      <w:r>
        <w:rPr>
          <w:color w:val="auto"/>
          <w:szCs w:val="21"/>
          <w:highlight w:val="none"/>
        </w:rPr>
        <w:t>“</w:t>
      </w:r>
      <w:r>
        <w:rPr>
          <w:rFonts w:hint="eastAsia"/>
          <w:b/>
          <w:bCs/>
          <w:color w:val="auto"/>
          <w:szCs w:val="21"/>
          <w:highlight w:val="none"/>
        </w:rPr>
        <w:t>供应商须知前附表</w:t>
      </w:r>
      <w:r>
        <w:rPr>
          <w:color w:val="auto"/>
          <w:szCs w:val="21"/>
          <w:highlight w:val="none"/>
        </w:rPr>
        <w:t>”</w:t>
      </w:r>
      <w:r>
        <w:rPr>
          <w:rFonts w:hint="eastAsia"/>
          <w:color w:val="auto"/>
          <w:szCs w:val="21"/>
          <w:highlight w:val="none"/>
        </w:rPr>
        <w:t>。</w:t>
      </w:r>
    </w:p>
    <w:p>
      <w:pPr>
        <w:keepNext/>
        <w:keepLines/>
        <w:numPr>
          <w:ilvl w:val="0"/>
          <w:numId w:val="4"/>
        </w:numPr>
        <w:spacing w:line="360" w:lineRule="auto"/>
        <w:outlineLvl w:val="2"/>
        <w:rPr>
          <w:b/>
          <w:bCs/>
          <w:color w:val="auto"/>
          <w:kern w:val="0"/>
          <w:sz w:val="32"/>
          <w:highlight w:val="none"/>
          <w:lang w:val="zh-CN"/>
        </w:rPr>
      </w:pPr>
      <w:bookmarkStart w:id="29" w:name="_Toc383175475"/>
      <w:bookmarkStart w:id="30" w:name="_Toc383175053"/>
      <w:bookmarkStart w:id="31" w:name="_Toc265142411"/>
      <w:bookmarkStart w:id="32" w:name="_Toc329810187"/>
      <w:bookmarkStart w:id="33" w:name="_Toc383175277"/>
      <w:r>
        <w:rPr>
          <w:rFonts w:hint="eastAsia"/>
          <w:b/>
          <w:bCs/>
          <w:color w:val="auto"/>
          <w:kern w:val="0"/>
          <w:sz w:val="32"/>
          <w:highlight w:val="none"/>
          <w:lang w:val="zh-CN"/>
        </w:rPr>
        <w:t>资金来源</w:t>
      </w:r>
      <w:bookmarkEnd w:id="29"/>
      <w:bookmarkEnd w:id="30"/>
      <w:bookmarkEnd w:id="31"/>
      <w:bookmarkEnd w:id="32"/>
      <w:bookmarkEnd w:id="33"/>
    </w:p>
    <w:p>
      <w:pPr>
        <w:spacing w:line="360" w:lineRule="auto"/>
        <w:ind w:firstLine="420" w:firstLineChars="200"/>
        <w:jc w:val="left"/>
        <w:rPr>
          <w:color w:val="auto"/>
          <w:szCs w:val="21"/>
          <w:highlight w:val="none"/>
        </w:rPr>
      </w:pPr>
      <w:r>
        <w:rPr>
          <w:color w:val="auto"/>
          <w:szCs w:val="21"/>
          <w:highlight w:val="none"/>
        </w:rPr>
        <w:t>2.1</w:t>
      </w:r>
      <w:r>
        <w:rPr>
          <w:rFonts w:hint="eastAsia"/>
          <w:color w:val="auto"/>
          <w:szCs w:val="21"/>
          <w:highlight w:val="none"/>
        </w:rPr>
        <w:t>资金来源已落实，用于采购</w:t>
      </w:r>
      <w:r>
        <w:rPr>
          <w:color w:val="auto"/>
          <w:szCs w:val="21"/>
          <w:highlight w:val="none"/>
        </w:rPr>
        <w:t>“</w:t>
      </w:r>
      <w:r>
        <w:rPr>
          <w:rFonts w:hint="eastAsia"/>
          <w:b/>
          <w:bCs/>
          <w:color w:val="auto"/>
          <w:szCs w:val="21"/>
          <w:highlight w:val="none"/>
        </w:rPr>
        <w:t>项目需求</w:t>
      </w:r>
      <w:r>
        <w:rPr>
          <w:color w:val="auto"/>
          <w:szCs w:val="21"/>
          <w:highlight w:val="none"/>
        </w:rPr>
        <w:t>”</w:t>
      </w:r>
      <w:r>
        <w:rPr>
          <w:rFonts w:hint="eastAsia"/>
          <w:color w:val="auto"/>
          <w:szCs w:val="21"/>
          <w:highlight w:val="none"/>
        </w:rPr>
        <w:t>所列服务。</w:t>
      </w:r>
      <w:bookmarkStart w:id="34" w:name="_Toc383175054"/>
      <w:bookmarkStart w:id="35" w:name="_Toc265142412"/>
      <w:bookmarkStart w:id="36" w:name="_Toc329810188"/>
      <w:bookmarkStart w:id="37" w:name="_Toc383175278"/>
      <w:bookmarkStart w:id="38" w:name="_Toc383175476"/>
    </w:p>
    <w:p>
      <w:pPr>
        <w:keepNext/>
        <w:keepLines/>
        <w:numPr>
          <w:ilvl w:val="0"/>
          <w:numId w:val="4"/>
        </w:numPr>
        <w:spacing w:line="360" w:lineRule="auto"/>
        <w:outlineLvl w:val="2"/>
        <w:rPr>
          <w:b/>
          <w:bCs/>
          <w:color w:val="auto"/>
          <w:kern w:val="0"/>
          <w:sz w:val="32"/>
          <w:highlight w:val="none"/>
          <w:lang w:val="zh-CN"/>
        </w:rPr>
      </w:pPr>
      <w:r>
        <w:rPr>
          <w:rFonts w:hint="eastAsia"/>
          <w:b/>
          <w:bCs/>
          <w:color w:val="auto"/>
          <w:kern w:val="0"/>
          <w:sz w:val="32"/>
          <w:highlight w:val="none"/>
          <w:lang w:val="zh-CN"/>
        </w:rPr>
        <w:t>采购范围</w:t>
      </w:r>
      <w:bookmarkEnd w:id="34"/>
      <w:bookmarkEnd w:id="35"/>
      <w:bookmarkEnd w:id="36"/>
      <w:bookmarkEnd w:id="37"/>
      <w:bookmarkEnd w:id="38"/>
    </w:p>
    <w:p>
      <w:pPr>
        <w:spacing w:line="360" w:lineRule="auto"/>
        <w:ind w:firstLine="420" w:firstLineChars="200"/>
        <w:jc w:val="left"/>
        <w:rPr>
          <w:color w:val="auto"/>
          <w:szCs w:val="21"/>
          <w:highlight w:val="none"/>
        </w:rPr>
      </w:pPr>
      <w:r>
        <w:rPr>
          <w:color w:val="auto"/>
          <w:szCs w:val="21"/>
          <w:highlight w:val="none"/>
        </w:rPr>
        <w:t xml:space="preserve">3.1 </w:t>
      </w:r>
      <w:r>
        <w:rPr>
          <w:rFonts w:hint="eastAsia"/>
          <w:color w:val="auto"/>
          <w:szCs w:val="21"/>
          <w:highlight w:val="none"/>
        </w:rPr>
        <w:t>本项目采购内容：见</w:t>
      </w:r>
      <w:r>
        <w:rPr>
          <w:color w:val="auto"/>
          <w:szCs w:val="21"/>
          <w:highlight w:val="none"/>
        </w:rPr>
        <w:t>“</w:t>
      </w:r>
      <w:r>
        <w:rPr>
          <w:rFonts w:hint="eastAsia"/>
          <w:b/>
          <w:bCs/>
          <w:color w:val="auto"/>
          <w:szCs w:val="21"/>
          <w:highlight w:val="none"/>
        </w:rPr>
        <w:t>供应商须知前附表</w:t>
      </w:r>
      <w:r>
        <w:rPr>
          <w:color w:val="auto"/>
          <w:szCs w:val="21"/>
          <w:highlight w:val="none"/>
        </w:rPr>
        <w:t>”</w:t>
      </w:r>
      <w:r>
        <w:rPr>
          <w:rFonts w:hint="eastAsia"/>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3.2 </w:t>
      </w:r>
      <w:r>
        <w:rPr>
          <w:rFonts w:hint="eastAsia"/>
          <w:color w:val="auto"/>
          <w:szCs w:val="21"/>
          <w:highlight w:val="none"/>
        </w:rPr>
        <w:t>本项目服务期限及服务地点：见</w:t>
      </w:r>
      <w:r>
        <w:rPr>
          <w:color w:val="auto"/>
          <w:szCs w:val="21"/>
          <w:highlight w:val="none"/>
        </w:rPr>
        <w:t>“</w:t>
      </w:r>
      <w:r>
        <w:rPr>
          <w:rFonts w:hint="eastAsia"/>
          <w:b/>
          <w:bCs/>
          <w:color w:val="auto"/>
          <w:szCs w:val="21"/>
          <w:highlight w:val="none"/>
        </w:rPr>
        <w:t>供应商须知前附表</w:t>
      </w:r>
      <w:r>
        <w:rPr>
          <w:color w:val="auto"/>
          <w:szCs w:val="21"/>
          <w:highlight w:val="none"/>
        </w:rPr>
        <w:t>”</w:t>
      </w:r>
      <w:r>
        <w:rPr>
          <w:rFonts w:hint="eastAsia"/>
          <w:color w:val="auto"/>
          <w:szCs w:val="21"/>
          <w:highlight w:val="none"/>
        </w:rPr>
        <w:t>。</w:t>
      </w:r>
    </w:p>
    <w:p>
      <w:pPr>
        <w:keepNext/>
        <w:keepLines/>
        <w:numPr>
          <w:ilvl w:val="0"/>
          <w:numId w:val="4"/>
        </w:numPr>
        <w:spacing w:line="360" w:lineRule="auto"/>
        <w:outlineLvl w:val="2"/>
        <w:rPr>
          <w:b/>
          <w:bCs/>
          <w:color w:val="auto"/>
          <w:kern w:val="0"/>
          <w:sz w:val="32"/>
          <w:highlight w:val="none"/>
          <w:lang w:val="zh-CN"/>
        </w:rPr>
      </w:pPr>
      <w:bookmarkStart w:id="39" w:name="_Toc329810189"/>
      <w:bookmarkStart w:id="40" w:name="_Toc383175477"/>
      <w:bookmarkStart w:id="41" w:name="_Toc383175055"/>
      <w:bookmarkStart w:id="42" w:name="_Toc383175279"/>
      <w:r>
        <w:rPr>
          <w:rFonts w:hint="eastAsia"/>
          <w:b/>
          <w:bCs/>
          <w:color w:val="auto"/>
          <w:kern w:val="0"/>
          <w:sz w:val="32"/>
          <w:highlight w:val="none"/>
          <w:lang w:val="zh-CN"/>
        </w:rPr>
        <w:t>合格的供应商（以下简称供应商）</w:t>
      </w:r>
      <w:bookmarkEnd w:id="39"/>
      <w:bookmarkEnd w:id="40"/>
      <w:bookmarkEnd w:id="41"/>
      <w:bookmarkEnd w:id="42"/>
    </w:p>
    <w:p>
      <w:pPr>
        <w:spacing w:line="360" w:lineRule="auto"/>
        <w:ind w:firstLine="420" w:firstLineChars="200"/>
        <w:rPr>
          <w:color w:val="auto"/>
          <w:szCs w:val="21"/>
          <w:highlight w:val="none"/>
        </w:rPr>
      </w:pPr>
      <w:r>
        <w:rPr>
          <w:rFonts w:hint="eastAsia" w:ascii="宋体" w:hAnsi="宋体"/>
          <w:color w:val="auto"/>
          <w:szCs w:val="21"/>
          <w:highlight w:val="none"/>
        </w:rPr>
        <w:t>详见磋商公告“</w:t>
      </w:r>
      <w:r>
        <w:rPr>
          <w:rFonts w:ascii="宋体" w:hAnsi="宋体"/>
          <w:color w:val="auto"/>
          <w:szCs w:val="21"/>
          <w:highlight w:val="none"/>
        </w:rPr>
        <w:t xml:space="preserve">3. </w:t>
      </w:r>
      <w:r>
        <w:rPr>
          <w:rFonts w:hint="eastAsia" w:ascii="宋体" w:hAnsi="宋体"/>
          <w:color w:val="auto"/>
          <w:szCs w:val="21"/>
          <w:highlight w:val="none"/>
        </w:rPr>
        <w:t>供应商资格要求”。</w:t>
      </w:r>
    </w:p>
    <w:p>
      <w:pPr>
        <w:keepNext/>
        <w:keepLines/>
        <w:numPr>
          <w:ilvl w:val="0"/>
          <w:numId w:val="4"/>
        </w:numPr>
        <w:spacing w:line="360" w:lineRule="auto"/>
        <w:outlineLvl w:val="2"/>
        <w:rPr>
          <w:b/>
          <w:bCs/>
          <w:color w:val="auto"/>
          <w:kern w:val="0"/>
          <w:sz w:val="32"/>
          <w:highlight w:val="none"/>
          <w:lang w:val="zh-CN"/>
        </w:rPr>
      </w:pPr>
      <w:bookmarkStart w:id="43" w:name="_Hlt200176664"/>
      <w:bookmarkEnd w:id="43"/>
      <w:bookmarkStart w:id="44" w:name="_Toc383175478"/>
      <w:bookmarkStart w:id="45" w:name="_Toc329810190"/>
      <w:bookmarkStart w:id="46" w:name="_Toc383175280"/>
      <w:bookmarkStart w:id="47" w:name="_Toc383175056"/>
      <w:r>
        <w:rPr>
          <w:rFonts w:hint="eastAsia"/>
          <w:b/>
          <w:bCs/>
          <w:color w:val="auto"/>
          <w:kern w:val="0"/>
          <w:sz w:val="32"/>
          <w:highlight w:val="none"/>
          <w:lang w:val="zh-CN"/>
        </w:rPr>
        <w:t>磋商费用</w:t>
      </w:r>
      <w:bookmarkEnd w:id="44"/>
      <w:bookmarkEnd w:id="45"/>
      <w:bookmarkEnd w:id="46"/>
      <w:bookmarkEnd w:id="47"/>
    </w:p>
    <w:p>
      <w:pPr>
        <w:spacing w:line="360" w:lineRule="auto"/>
        <w:ind w:firstLine="420" w:firstLineChars="200"/>
        <w:rPr>
          <w:color w:val="auto"/>
          <w:highlight w:val="none"/>
        </w:rPr>
      </w:pPr>
      <w:r>
        <w:rPr>
          <w:rFonts w:hint="eastAsia"/>
          <w:color w:val="auto"/>
          <w:highlight w:val="none"/>
        </w:rPr>
        <w:t>无论是否成交，供应商自行承担所有与参加磋商有关的全部费用。</w:t>
      </w:r>
    </w:p>
    <w:p>
      <w:pPr>
        <w:spacing w:line="360" w:lineRule="auto"/>
        <w:ind w:firstLine="420" w:firstLineChars="200"/>
        <w:rPr>
          <w:color w:val="auto"/>
          <w:highlight w:val="none"/>
        </w:rPr>
      </w:pPr>
    </w:p>
    <w:p>
      <w:pPr>
        <w:keepNext/>
        <w:keepLines/>
        <w:numPr>
          <w:ilvl w:val="0"/>
          <w:numId w:val="1"/>
        </w:numPr>
        <w:spacing w:line="360" w:lineRule="auto"/>
        <w:jc w:val="center"/>
        <w:outlineLvl w:val="1"/>
        <w:rPr>
          <w:rFonts w:asciiTheme="minorHAnsi" w:hAnsiTheme="minorHAnsi" w:eastAsiaTheme="minorEastAsia" w:cstheme="minorBidi"/>
          <w:b/>
          <w:bCs/>
          <w:color w:val="auto"/>
          <w:kern w:val="0"/>
          <w:sz w:val="32"/>
          <w:szCs w:val="28"/>
          <w:highlight w:val="none"/>
          <w:lang w:val="zh-CN"/>
        </w:rPr>
      </w:pPr>
      <w:bookmarkStart w:id="48" w:name="_Toc383175479"/>
      <w:bookmarkStart w:id="49" w:name="_Toc86124047"/>
      <w:r>
        <w:rPr>
          <w:rFonts w:hint="eastAsia" w:asciiTheme="minorHAnsi" w:hAnsiTheme="minorHAnsi" w:eastAsiaTheme="minorEastAsia" w:cstheme="minorBidi"/>
          <w:b/>
          <w:bCs/>
          <w:color w:val="auto"/>
          <w:kern w:val="0"/>
          <w:sz w:val="32"/>
          <w:szCs w:val="28"/>
          <w:highlight w:val="none"/>
          <w:lang w:val="zh-CN"/>
        </w:rPr>
        <w:t>磋商文件</w:t>
      </w:r>
      <w:bookmarkEnd w:id="48"/>
      <w:bookmarkEnd w:id="49"/>
    </w:p>
    <w:p>
      <w:pPr>
        <w:keepNext/>
        <w:keepLines/>
        <w:tabs>
          <w:tab w:val="left" w:pos="786"/>
        </w:tabs>
        <w:spacing w:line="360" w:lineRule="auto"/>
        <w:ind w:firstLine="313" w:firstLineChars="98"/>
        <w:outlineLvl w:val="2"/>
        <w:rPr>
          <w:b/>
          <w:bCs/>
          <w:color w:val="auto"/>
          <w:kern w:val="0"/>
          <w:sz w:val="32"/>
          <w:highlight w:val="none"/>
          <w:lang w:val="zh-CN"/>
        </w:rPr>
      </w:pPr>
      <w:r>
        <w:rPr>
          <w:rFonts w:hint="eastAsia"/>
          <w:b/>
          <w:bCs/>
          <w:color w:val="auto"/>
          <w:kern w:val="0"/>
          <w:sz w:val="32"/>
          <w:highlight w:val="none"/>
          <w:lang w:val="zh-CN"/>
        </w:rPr>
        <w:t>6.磋商文件的组成</w:t>
      </w:r>
    </w:p>
    <w:p>
      <w:pPr>
        <w:spacing w:line="360" w:lineRule="auto"/>
        <w:ind w:left="502"/>
        <w:jc w:val="left"/>
        <w:rPr>
          <w:color w:val="auto"/>
          <w:szCs w:val="21"/>
          <w:highlight w:val="none"/>
        </w:rPr>
      </w:pPr>
      <w:r>
        <w:rPr>
          <w:rFonts w:hint="eastAsia"/>
          <w:color w:val="auto"/>
          <w:szCs w:val="21"/>
          <w:highlight w:val="none"/>
        </w:rPr>
        <w:t>要求提供的货物、采购过程及合同条款在磋商文件中均有说明，磋商文件共六章，各章的内容如下：</w:t>
      </w:r>
    </w:p>
    <w:p>
      <w:pPr>
        <w:spacing w:line="360" w:lineRule="auto"/>
        <w:ind w:left="502"/>
        <w:jc w:val="left"/>
        <w:rPr>
          <w:color w:val="auto"/>
          <w:szCs w:val="21"/>
          <w:highlight w:val="none"/>
        </w:rPr>
      </w:pPr>
      <w:r>
        <w:rPr>
          <w:rFonts w:hint="eastAsia"/>
          <w:color w:val="auto"/>
          <w:szCs w:val="21"/>
          <w:highlight w:val="none"/>
        </w:rPr>
        <w:t>第一章竞争性磋商公告</w:t>
      </w:r>
    </w:p>
    <w:p>
      <w:pPr>
        <w:spacing w:line="360" w:lineRule="auto"/>
        <w:ind w:left="502"/>
        <w:jc w:val="left"/>
        <w:rPr>
          <w:color w:val="auto"/>
          <w:szCs w:val="21"/>
          <w:highlight w:val="none"/>
        </w:rPr>
      </w:pPr>
      <w:r>
        <w:rPr>
          <w:rFonts w:hint="eastAsia"/>
          <w:color w:val="auto"/>
          <w:szCs w:val="21"/>
          <w:highlight w:val="none"/>
        </w:rPr>
        <w:t>第二章供应商须知</w:t>
      </w:r>
    </w:p>
    <w:p>
      <w:pPr>
        <w:spacing w:line="360" w:lineRule="auto"/>
        <w:ind w:left="502"/>
        <w:jc w:val="left"/>
        <w:rPr>
          <w:color w:val="auto"/>
          <w:szCs w:val="21"/>
          <w:highlight w:val="none"/>
        </w:rPr>
      </w:pPr>
      <w:r>
        <w:rPr>
          <w:rFonts w:hint="eastAsia"/>
          <w:color w:val="auto"/>
          <w:szCs w:val="21"/>
          <w:highlight w:val="none"/>
        </w:rPr>
        <w:t>第三章合同书样式及主要条款</w:t>
      </w:r>
    </w:p>
    <w:p>
      <w:pPr>
        <w:spacing w:line="360" w:lineRule="auto"/>
        <w:ind w:left="502"/>
        <w:jc w:val="left"/>
        <w:rPr>
          <w:color w:val="auto"/>
          <w:szCs w:val="21"/>
          <w:highlight w:val="none"/>
        </w:rPr>
      </w:pPr>
      <w:r>
        <w:rPr>
          <w:rFonts w:hint="eastAsia"/>
          <w:color w:val="auto"/>
          <w:szCs w:val="21"/>
          <w:highlight w:val="none"/>
        </w:rPr>
        <w:t>第四章响应文件格式</w:t>
      </w:r>
    </w:p>
    <w:p>
      <w:pPr>
        <w:spacing w:line="360" w:lineRule="auto"/>
        <w:ind w:left="502"/>
        <w:jc w:val="left"/>
        <w:rPr>
          <w:color w:val="auto"/>
          <w:szCs w:val="21"/>
          <w:highlight w:val="none"/>
        </w:rPr>
      </w:pPr>
      <w:r>
        <w:rPr>
          <w:rFonts w:hint="eastAsia"/>
          <w:color w:val="auto"/>
          <w:szCs w:val="21"/>
          <w:highlight w:val="none"/>
        </w:rPr>
        <w:t>第五章项目需求</w:t>
      </w:r>
    </w:p>
    <w:p>
      <w:pPr>
        <w:spacing w:line="360" w:lineRule="auto"/>
        <w:ind w:left="502"/>
        <w:jc w:val="left"/>
        <w:rPr>
          <w:color w:val="auto"/>
          <w:szCs w:val="21"/>
          <w:highlight w:val="none"/>
        </w:rPr>
      </w:pPr>
      <w:r>
        <w:rPr>
          <w:rFonts w:hint="eastAsia"/>
          <w:color w:val="auto"/>
          <w:szCs w:val="21"/>
          <w:highlight w:val="none"/>
        </w:rPr>
        <w:t>第六章磋商程序及方法</w:t>
      </w:r>
    </w:p>
    <w:p>
      <w:pPr>
        <w:keepNext/>
        <w:keepLines/>
        <w:spacing w:line="360" w:lineRule="auto"/>
        <w:ind w:left="426"/>
        <w:outlineLvl w:val="2"/>
        <w:rPr>
          <w:b/>
          <w:bCs/>
          <w:color w:val="auto"/>
          <w:kern w:val="0"/>
          <w:sz w:val="32"/>
          <w:highlight w:val="none"/>
        </w:rPr>
      </w:pPr>
      <w:bookmarkStart w:id="50" w:name="_Toc86124049"/>
      <w:bookmarkStart w:id="51" w:name="_Toc329810193"/>
      <w:bookmarkStart w:id="52" w:name="_Toc383175283"/>
      <w:bookmarkStart w:id="53" w:name="_Toc383175481"/>
      <w:bookmarkStart w:id="54" w:name="_Toc383175059"/>
      <w:r>
        <w:rPr>
          <w:b/>
          <w:bCs/>
          <w:color w:val="auto"/>
          <w:kern w:val="0"/>
          <w:sz w:val="32"/>
          <w:highlight w:val="none"/>
        </w:rPr>
        <w:t>7.</w:t>
      </w:r>
      <w:r>
        <w:rPr>
          <w:rFonts w:hint="eastAsia"/>
          <w:b/>
          <w:bCs/>
          <w:color w:val="auto"/>
          <w:kern w:val="0"/>
          <w:sz w:val="32"/>
          <w:highlight w:val="none"/>
          <w:lang w:val="zh-CN"/>
        </w:rPr>
        <w:t>磋商文件的澄清</w:t>
      </w:r>
      <w:bookmarkEnd w:id="50"/>
      <w:r>
        <w:rPr>
          <w:rFonts w:hint="eastAsia"/>
          <w:b/>
          <w:bCs/>
          <w:color w:val="auto"/>
          <w:kern w:val="0"/>
          <w:sz w:val="32"/>
          <w:highlight w:val="none"/>
          <w:lang w:val="zh-CN"/>
        </w:rPr>
        <w:t>、修改</w:t>
      </w:r>
      <w:bookmarkEnd w:id="51"/>
      <w:bookmarkEnd w:id="52"/>
      <w:bookmarkEnd w:id="53"/>
      <w:bookmarkEnd w:id="54"/>
    </w:p>
    <w:p>
      <w:pPr>
        <w:spacing w:line="360" w:lineRule="auto"/>
        <w:ind w:firstLine="420" w:firstLineChars="200"/>
        <w:jc w:val="left"/>
        <w:rPr>
          <w:color w:val="auto"/>
          <w:highlight w:val="none"/>
        </w:rPr>
      </w:pPr>
      <w:r>
        <w:rPr>
          <w:color w:val="auto"/>
          <w:highlight w:val="none"/>
        </w:rPr>
        <w:t xml:space="preserve">7.1 </w:t>
      </w:r>
      <w:r>
        <w:rPr>
          <w:rFonts w:hint="eastAsia"/>
          <w:color w:val="auto"/>
          <w:highlight w:val="none"/>
        </w:rPr>
        <w:t>参加供应商应认真审核磋商文件，如有疑问的，供应商可以在“供应商须知前附表”规定截止时间前以澄清函形式（加盖单位章）要求采购</w:t>
      </w:r>
      <w:r>
        <w:rPr>
          <w:rFonts w:hint="eastAsia"/>
          <w:color w:val="auto"/>
          <w:highlight w:val="none"/>
          <w:lang w:val="en-US" w:eastAsia="zh-CN"/>
        </w:rPr>
        <w:t>人</w:t>
      </w:r>
      <w:r>
        <w:rPr>
          <w:rFonts w:hint="eastAsia"/>
          <w:color w:val="auto"/>
          <w:highlight w:val="none"/>
        </w:rPr>
        <w:t>澄清，截止时间后送达的澄清要求概不接受。</w:t>
      </w:r>
    </w:p>
    <w:p>
      <w:pPr>
        <w:spacing w:line="360" w:lineRule="auto"/>
        <w:ind w:firstLine="420" w:firstLineChars="200"/>
        <w:jc w:val="left"/>
        <w:rPr>
          <w:color w:val="auto"/>
          <w:highlight w:val="none"/>
        </w:rPr>
      </w:pPr>
      <w:r>
        <w:rPr>
          <w:color w:val="auto"/>
          <w:highlight w:val="none"/>
        </w:rPr>
        <w:t xml:space="preserve">7.2 </w:t>
      </w:r>
      <w:r>
        <w:rPr>
          <w:rFonts w:hint="eastAsia"/>
          <w:color w:val="auto"/>
          <w:highlight w:val="none"/>
        </w:rPr>
        <w:t>采购</w:t>
      </w:r>
      <w:r>
        <w:rPr>
          <w:rFonts w:hint="eastAsia"/>
          <w:color w:val="auto"/>
          <w:highlight w:val="none"/>
          <w:lang w:val="en-US" w:eastAsia="zh-CN"/>
        </w:rPr>
        <w:t>人</w:t>
      </w:r>
      <w:r>
        <w:rPr>
          <w:rFonts w:hint="eastAsia" w:ascii="宋体"/>
          <w:color w:val="auto"/>
          <w:szCs w:val="21"/>
          <w:highlight w:val="none"/>
        </w:rPr>
        <w:t>将以书面形式答复所有</w:t>
      </w:r>
      <w:r>
        <w:rPr>
          <w:rFonts w:hint="eastAsia" w:ascii="宋体"/>
          <w:color w:val="auto"/>
          <w:szCs w:val="21"/>
          <w:highlight w:val="none"/>
          <w:lang w:val="en-US" w:eastAsia="zh-CN"/>
        </w:rPr>
        <w:t>获取</w:t>
      </w:r>
      <w:r>
        <w:rPr>
          <w:rFonts w:hint="eastAsia" w:ascii="宋体"/>
          <w:color w:val="auto"/>
          <w:szCs w:val="21"/>
          <w:highlight w:val="none"/>
        </w:rPr>
        <w:t>磋商文件的供应商</w:t>
      </w:r>
      <w:r>
        <w:rPr>
          <w:rFonts w:hint="eastAsia"/>
          <w:color w:val="auto"/>
          <w:szCs w:val="21"/>
          <w:highlight w:val="none"/>
        </w:rPr>
        <w:t>（答复中</w:t>
      </w:r>
      <w:r>
        <w:rPr>
          <w:rFonts w:hint="eastAsia"/>
          <w:color w:val="auto"/>
          <w:highlight w:val="none"/>
        </w:rPr>
        <w:t>不包含问题的来源）要求澄清的问题，其他澄清方式无效。</w:t>
      </w:r>
    </w:p>
    <w:p>
      <w:pPr>
        <w:spacing w:line="360" w:lineRule="auto"/>
        <w:ind w:firstLine="420" w:firstLineChars="200"/>
        <w:jc w:val="left"/>
        <w:rPr>
          <w:color w:val="auto"/>
          <w:highlight w:val="none"/>
        </w:rPr>
      </w:pPr>
      <w:r>
        <w:rPr>
          <w:color w:val="auto"/>
          <w:highlight w:val="none"/>
        </w:rPr>
        <w:t>7.3</w:t>
      </w:r>
      <w:r>
        <w:rPr>
          <w:rFonts w:hint="eastAsia"/>
          <w:color w:val="auto"/>
          <w:highlight w:val="none"/>
        </w:rPr>
        <w:t>采购人对已发出的磋商文件进行必要的澄清或者修改的，澄清或者修改的内容作为磋商文件的组成部分。澄清或者修改的内容可能影响响应文件编制的，采购人将在提交首次响应文件截止之日5日前，以书面形式通知所有接收磋商文件的供应商，不足5日的，将顺延提交首次响应文件截止之日。</w:t>
      </w:r>
    </w:p>
    <w:p>
      <w:pPr>
        <w:spacing w:line="360" w:lineRule="auto"/>
        <w:ind w:firstLine="420" w:firstLineChars="200"/>
        <w:jc w:val="left"/>
        <w:rPr>
          <w:rFonts w:ascii="宋体"/>
          <w:color w:val="auto"/>
          <w:highlight w:val="none"/>
        </w:rPr>
      </w:pPr>
      <w:r>
        <w:rPr>
          <w:rFonts w:ascii="宋体" w:hAnsi="宋体"/>
          <w:color w:val="auto"/>
          <w:highlight w:val="none"/>
        </w:rPr>
        <w:t>7.4</w:t>
      </w:r>
      <w:r>
        <w:rPr>
          <w:rFonts w:hint="eastAsia" w:ascii="宋体" w:hAnsi="宋体"/>
          <w:color w:val="auto"/>
          <w:highlight w:val="none"/>
        </w:rPr>
        <w:t>采购人可以视采购具体情况，推迟递交响应文件截止时间，并将变更时间书面通知所有</w:t>
      </w:r>
      <w:r>
        <w:rPr>
          <w:rFonts w:hint="eastAsia" w:ascii="宋体" w:hAnsi="宋体"/>
          <w:color w:val="auto"/>
          <w:highlight w:val="none"/>
          <w:lang w:val="en-US" w:eastAsia="zh-CN"/>
        </w:rPr>
        <w:t>采购人知晓已获取</w:t>
      </w:r>
      <w:r>
        <w:rPr>
          <w:rFonts w:hint="eastAsia" w:ascii="宋体" w:hAnsi="宋体"/>
          <w:color w:val="auto"/>
          <w:highlight w:val="none"/>
        </w:rPr>
        <w:t>磋商文件的供应商。</w:t>
      </w:r>
    </w:p>
    <w:p>
      <w:pPr>
        <w:spacing w:line="360" w:lineRule="auto"/>
        <w:ind w:firstLine="420" w:firstLineChars="200"/>
        <w:jc w:val="left"/>
        <w:rPr>
          <w:rFonts w:ascii="宋体"/>
          <w:color w:val="auto"/>
          <w:highlight w:val="none"/>
        </w:rPr>
      </w:pPr>
      <w:r>
        <w:rPr>
          <w:rFonts w:ascii="宋体" w:hAnsi="宋体"/>
          <w:color w:val="auto"/>
          <w:highlight w:val="none"/>
        </w:rPr>
        <w:t>7.5</w:t>
      </w:r>
      <w:r>
        <w:rPr>
          <w:rFonts w:hint="eastAsia" w:ascii="宋体" w:hAnsi="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本项目磋商小组根据与供应商磋商情况可能实质性变动的内容见供应商须知前附表。</w:t>
      </w:r>
    </w:p>
    <w:p>
      <w:pPr>
        <w:keepNext/>
        <w:keepLines/>
        <w:numPr>
          <w:ilvl w:val="0"/>
          <w:numId w:val="1"/>
        </w:numPr>
        <w:spacing w:line="360" w:lineRule="auto"/>
        <w:jc w:val="center"/>
        <w:outlineLvl w:val="1"/>
        <w:rPr>
          <w:rFonts w:ascii="宋体" w:hAnsi="Arial" w:eastAsiaTheme="minorEastAsia" w:cstheme="minorBidi"/>
          <w:b/>
          <w:bCs/>
          <w:color w:val="auto"/>
          <w:kern w:val="0"/>
          <w:sz w:val="32"/>
          <w:szCs w:val="28"/>
          <w:highlight w:val="none"/>
          <w:lang w:val="zh-CN"/>
        </w:rPr>
      </w:pPr>
      <w:bookmarkStart w:id="55" w:name="_Toc383175482"/>
      <w:bookmarkStart w:id="56" w:name="_Toc86124051"/>
      <w:r>
        <w:rPr>
          <w:rFonts w:hint="eastAsia" w:ascii="宋体" w:hAnsi="宋体" w:eastAsiaTheme="minorEastAsia" w:cstheme="minorBidi"/>
          <w:b/>
          <w:bCs/>
          <w:color w:val="auto"/>
          <w:kern w:val="0"/>
          <w:sz w:val="32"/>
          <w:szCs w:val="28"/>
          <w:highlight w:val="none"/>
          <w:lang w:val="zh-CN"/>
        </w:rPr>
        <w:t>响应文件</w:t>
      </w:r>
      <w:bookmarkEnd w:id="55"/>
      <w:bookmarkEnd w:id="56"/>
    </w:p>
    <w:p>
      <w:pPr>
        <w:keepNext/>
        <w:keepLines/>
        <w:spacing w:line="360" w:lineRule="auto"/>
        <w:ind w:left="426"/>
        <w:outlineLvl w:val="2"/>
        <w:rPr>
          <w:rFonts w:ascii="宋体" w:hAnsi="宋体"/>
          <w:b/>
          <w:bCs/>
          <w:color w:val="auto"/>
          <w:kern w:val="0"/>
          <w:sz w:val="32"/>
          <w:highlight w:val="none"/>
          <w:lang w:val="zh-CN"/>
        </w:rPr>
      </w:pPr>
      <w:bookmarkStart w:id="57" w:name="_Toc86124052"/>
      <w:bookmarkStart w:id="58" w:name="_Toc329810195"/>
      <w:bookmarkStart w:id="59" w:name="_Toc383175285"/>
      <w:bookmarkStart w:id="60" w:name="_Toc383175061"/>
      <w:bookmarkStart w:id="61" w:name="_Toc383175483"/>
      <w:r>
        <w:rPr>
          <w:rFonts w:ascii="宋体" w:hAnsi="宋体"/>
          <w:b/>
          <w:bCs/>
          <w:color w:val="auto"/>
          <w:kern w:val="0"/>
          <w:sz w:val="32"/>
          <w:highlight w:val="none"/>
          <w:lang w:val="zh-CN"/>
        </w:rPr>
        <w:t>8.响应文件编写注意事项</w:t>
      </w:r>
      <w:bookmarkEnd w:id="57"/>
      <w:bookmarkEnd w:id="58"/>
      <w:bookmarkEnd w:id="59"/>
      <w:bookmarkEnd w:id="60"/>
      <w:bookmarkEnd w:id="61"/>
    </w:p>
    <w:p>
      <w:pPr>
        <w:spacing w:line="360" w:lineRule="auto"/>
        <w:ind w:firstLine="420" w:firstLineChars="200"/>
        <w:jc w:val="left"/>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供应商应仔细阅读磋商文件，在完全了解采购的内容、技术性能要求（见第五章</w:t>
      </w:r>
      <w:r>
        <w:rPr>
          <w:rFonts w:hint="eastAsia" w:ascii="宋体"/>
          <w:color w:val="auto"/>
          <w:highlight w:val="none"/>
        </w:rPr>
        <w:t>“</w:t>
      </w:r>
      <w:r>
        <w:rPr>
          <w:rFonts w:hint="eastAsia" w:ascii="宋体" w:hAnsi="宋体"/>
          <w:color w:val="auto"/>
          <w:highlight w:val="none"/>
        </w:rPr>
        <w:t>项目需求</w:t>
      </w:r>
      <w:r>
        <w:rPr>
          <w:rFonts w:hint="eastAsia" w:ascii="宋体"/>
          <w:color w:val="auto"/>
          <w:highlight w:val="none"/>
        </w:rPr>
        <w:t>”</w:t>
      </w:r>
      <w:r>
        <w:rPr>
          <w:rFonts w:hint="eastAsia" w:ascii="宋体" w:hAnsi="宋体"/>
          <w:color w:val="auto"/>
          <w:highlight w:val="none"/>
        </w:rPr>
        <w:t>）和商务条件后，编写响应文件。</w:t>
      </w:r>
    </w:p>
    <w:p>
      <w:pPr>
        <w:spacing w:line="360" w:lineRule="auto"/>
        <w:ind w:firstLine="420" w:firstLineChars="200"/>
        <w:jc w:val="left"/>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对磋商文件提出的实质性要求和条件作出响应是指供应商必须对磋商文件中规定的成交实质性要求和条件作出满足或者优于原要求和条件的承诺，并提供相应的证明材料。</w:t>
      </w:r>
    </w:p>
    <w:p>
      <w:pPr>
        <w:keepNext/>
        <w:keepLines/>
        <w:spacing w:line="360" w:lineRule="auto"/>
        <w:ind w:firstLine="470" w:firstLineChars="147"/>
        <w:outlineLvl w:val="2"/>
        <w:rPr>
          <w:rFonts w:ascii="宋体" w:hAnsi="宋体"/>
          <w:b/>
          <w:bCs/>
          <w:color w:val="auto"/>
          <w:kern w:val="0"/>
          <w:sz w:val="32"/>
          <w:highlight w:val="none"/>
          <w:lang w:val="zh-CN"/>
        </w:rPr>
      </w:pPr>
      <w:bookmarkStart w:id="62" w:name="_Toc329810196"/>
      <w:bookmarkStart w:id="63" w:name="_Toc383175484"/>
      <w:bookmarkStart w:id="64" w:name="_Toc383175286"/>
      <w:bookmarkStart w:id="65" w:name="_Toc383175062"/>
      <w:bookmarkStart w:id="66" w:name="_Toc86124054"/>
      <w:r>
        <w:rPr>
          <w:rFonts w:ascii="宋体" w:hAnsi="宋体"/>
          <w:b/>
          <w:bCs/>
          <w:color w:val="auto"/>
          <w:kern w:val="0"/>
          <w:sz w:val="32"/>
          <w:highlight w:val="none"/>
          <w:lang w:val="zh-CN"/>
        </w:rPr>
        <w:t>9.响应文件构成</w:t>
      </w:r>
      <w:bookmarkEnd w:id="62"/>
      <w:bookmarkEnd w:id="63"/>
      <w:bookmarkEnd w:id="64"/>
      <w:bookmarkEnd w:id="65"/>
      <w:bookmarkEnd w:id="66"/>
    </w:p>
    <w:p>
      <w:pPr>
        <w:spacing w:line="360" w:lineRule="auto"/>
        <w:ind w:firstLine="420" w:firstLineChars="200"/>
        <w:jc w:val="left"/>
        <w:rPr>
          <w:rFonts w:ascii="宋体"/>
          <w:color w:val="auto"/>
          <w:highlight w:val="none"/>
        </w:rPr>
      </w:pPr>
      <w:r>
        <w:rPr>
          <w:rFonts w:ascii="宋体" w:hAnsi="宋体"/>
          <w:color w:val="auto"/>
          <w:highlight w:val="none"/>
        </w:rPr>
        <w:t>9.1</w:t>
      </w:r>
      <w:r>
        <w:rPr>
          <w:rFonts w:hint="eastAsia" w:ascii="宋体" w:hAnsi="宋体"/>
          <w:color w:val="auto"/>
          <w:highlight w:val="none"/>
        </w:rPr>
        <w:t>供应商编写的响应文件应按第四章“响应文件格式”要求填写。有关文件的提交如未特别注明需提供原件的，可提供复印件。</w:t>
      </w:r>
    </w:p>
    <w:p>
      <w:pPr>
        <w:keepNext/>
        <w:keepLines/>
        <w:spacing w:line="360" w:lineRule="auto"/>
        <w:ind w:firstLine="470" w:firstLineChars="147"/>
        <w:outlineLvl w:val="2"/>
        <w:rPr>
          <w:rFonts w:ascii="宋体" w:hAnsi="宋体"/>
          <w:b/>
          <w:bCs/>
          <w:color w:val="auto"/>
          <w:kern w:val="0"/>
          <w:sz w:val="32"/>
          <w:highlight w:val="none"/>
          <w:lang w:val="zh-CN"/>
        </w:rPr>
      </w:pPr>
      <w:bookmarkStart w:id="67" w:name="_Toc86124056"/>
      <w:bookmarkStart w:id="68" w:name="_Toc383175485"/>
      <w:bookmarkStart w:id="69" w:name="_Toc383175063"/>
      <w:bookmarkStart w:id="70" w:name="_Toc383175287"/>
      <w:bookmarkStart w:id="71" w:name="_Toc329810197"/>
      <w:r>
        <w:rPr>
          <w:rFonts w:ascii="宋体" w:hAnsi="宋体"/>
          <w:b/>
          <w:bCs/>
          <w:color w:val="auto"/>
          <w:kern w:val="0"/>
          <w:sz w:val="32"/>
          <w:highlight w:val="none"/>
          <w:lang w:val="zh-CN"/>
        </w:rPr>
        <w:t>10.报价</w:t>
      </w:r>
      <w:bookmarkEnd w:id="67"/>
      <w:r>
        <w:rPr>
          <w:rFonts w:hint="eastAsia" w:ascii="宋体" w:hAnsi="宋体"/>
          <w:b/>
          <w:bCs/>
          <w:color w:val="auto"/>
          <w:kern w:val="0"/>
          <w:sz w:val="32"/>
          <w:highlight w:val="none"/>
          <w:lang w:val="zh-CN"/>
        </w:rPr>
        <w:t>和报价货币</w:t>
      </w:r>
      <w:bookmarkEnd w:id="68"/>
      <w:bookmarkEnd w:id="69"/>
      <w:bookmarkEnd w:id="70"/>
      <w:bookmarkEnd w:id="71"/>
    </w:p>
    <w:p>
      <w:pPr>
        <w:spacing w:line="360" w:lineRule="auto"/>
        <w:ind w:firstLine="420" w:firstLineChars="200"/>
        <w:jc w:val="left"/>
        <w:rPr>
          <w:color w:val="auto"/>
          <w:szCs w:val="21"/>
          <w:highlight w:val="none"/>
        </w:rPr>
      </w:pPr>
      <w:r>
        <w:rPr>
          <w:rFonts w:ascii="宋体" w:hAnsi="宋体"/>
          <w:color w:val="auto"/>
          <w:szCs w:val="21"/>
          <w:highlight w:val="none"/>
        </w:rPr>
        <w:t>10.1</w:t>
      </w:r>
      <w:r>
        <w:rPr>
          <w:rFonts w:hint="eastAsia"/>
          <w:color w:val="auto"/>
          <w:szCs w:val="21"/>
          <w:highlight w:val="none"/>
        </w:rPr>
        <w:t>本项目磋商控制价详见</w:t>
      </w:r>
      <w:r>
        <w:rPr>
          <w:color w:val="auto"/>
          <w:highlight w:val="none"/>
        </w:rPr>
        <w:t>“</w:t>
      </w:r>
      <w:r>
        <w:rPr>
          <w:rFonts w:hint="eastAsia"/>
          <w:b/>
          <w:color w:val="auto"/>
          <w:highlight w:val="none"/>
        </w:rPr>
        <w:t>供应商须知前附表</w:t>
      </w:r>
      <w:r>
        <w:rPr>
          <w:color w:val="auto"/>
          <w:highlight w:val="none"/>
        </w:rPr>
        <w:t>”</w:t>
      </w:r>
      <w:r>
        <w:rPr>
          <w:rFonts w:hint="eastAsia"/>
          <w:color w:val="auto"/>
          <w:highlight w:val="none"/>
        </w:rPr>
        <w:t>，最后报价超过磋商控制价的供应商将按无效处理。</w:t>
      </w:r>
    </w:p>
    <w:p>
      <w:pPr>
        <w:spacing w:line="360" w:lineRule="auto"/>
        <w:ind w:firstLine="420" w:firstLineChars="200"/>
        <w:jc w:val="left"/>
        <w:rPr>
          <w:rFonts w:ascii="宋体"/>
          <w:color w:val="auto"/>
          <w:szCs w:val="21"/>
          <w:highlight w:val="none"/>
        </w:rPr>
      </w:pPr>
      <w:r>
        <w:rPr>
          <w:rFonts w:ascii="宋体" w:hAnsi="宋体"/>
          <w:b/>
          <w:color w:val="auto"/>
          <w:szCs w:val="21"/>
          <w:highlight w:val="none"/>
        </w:rPr>
        <w:t>10.2</w:t>
      </w:r>
      <w:r>
        <w:rPr>
          <w:rFonts w:hint="eastAsia" w:ascii="宋体" w:hAnsi="宋体"/>
          <w:b/>
          <w:color w:val="auto"/>
          <w:szCs w:val="21"/>
          <w:highlight w:val="none"/>
        </w:rPr>
        <w:t>供应商须就</w:t>
      </w:r>
      <w:r>
        <w:rPr>
          <w:rFonts w:hint="eastAsia" w:ascii="宋体"/>
          <w:b/>
          <w:color w:val="auto"/>
          <w:szCs w:val="21"/>
          <w:highlight w:val="none"/>
        </w:rPr>
        <w:t>“</w:t>
      </w:r>
      <w:r>
        <w:rPr>
          <w:rFonts w:hint="eastAsia" w:ascii="宋体" w:hAnsi="宋体"/>
          <w:b/>
          <w:color w:val="auto"/>
          <w:szCs w:val="21"/>
          <w:highlight w:val="none"/>
        </w:rPr>
        <w:t>项目需求</w:t>
      </w:r>
      <w:r>
        <w:rPr>
          <w:rFonts w:hint="eastAsia" w:ascii="宋体"/>
          <w:b/>
          <w:color w:val="auto"/>
          <w:szCs w:val="21"/>
          <w:highlight w:val="none"/>
        </w:rPr>
        <w:t>”</w:t>
      </w:r>
      <w:r>
        <w:rPr>
          <w:rFonts w:hint="eastAsia" w:ascii="宋体" w:hAnsi="宋体"/>
          <w:b/>
          <w:color w:val="auto"/>
          <w:szCs w:val="21"/>
          <w:highlight w:val="none"/>
        </w:rPr>
        <w:t>中所有采购内容作完整唯一报价。</w:t>
      </w:r>
    </w:p>
    <w:p>
      <w:pPr>
        <w:autoSpaceDE w:val="0"/>
        <w:autoSpaceDN w:val="0"/>
        <w:adjustRightInd w:val="0"/>
        <w:spacing w:line="360" w:lineRule="auto"/>
        <w:ind w:firstLine="420" w:firstLineChars="200"/>
        <w:jc w:val="left"/>
        <w:rPr>
          <w:rFonts w:ascii="宋体" w:hAnsi="宋体" w:cs="Courier New"/>
          <w:color w:val="auto"/>
          <w:szCs w:val="21"/>
          <w:highlight w:val="none"/>
        </w:rPr>
      </w:pPr>
      <w:r>
        <w:rPr>
          <w:rFonts w:ascii="宋体" w:hAnsi="宋体" w:cs="Courier New"/>
          <w:color w:val="auto"/>
          <w:szCs w:val="21"/>
          <w:highlight w:val="none"/>
        </w:rPr>
        <w:t>10.3</w:t>
      </w:r>
      <w:r>
        <w:rPr>
          <w:rFonts w:hint="eastAsia" w:ascii="宋体" w:hAnsi="宋体" w:cs="Courier New"/>
          <w:color w:val="auto"/>
          <w:szCs w:val="21"/>
          <w:highlight w:val="none"/>
        </w:rPr>
        <w:t>供应商应依据磋商文件的要求及有关资料，执行国家或行业现行技术经济标准、定额及规范，自行测算出满足采购要求的服务的竞争性报价。报价均为人民币元，磋商报价指完成本项目所需的一切相关费用，该报价应符合国内行情并能保证供应商完成履行合同所需的一切工作</w:t>
      </w:r>
      <w:r>
        <w:rPr>
          <w:rFonts w:ascii="宋体" w:hAnsi="宋体" w:cs="Courier New"/>
          <w:color w:val="auto"/>
          <w:szCs w:val="21"/>
          <w:highlight w:val="none"/>
        </w:rPr>
        <w:t>,为包干总价。费用包含完成本项目相关</w:t>
      </w:r>
      <w:r>
        <w:rPr>
          <w:rFonts w:hint="eastAsia" w:ascii="宋体" w:hAnsi="宋体" w:cs="Courier New"/>
          <w:color w:val="auto"/>
          <w:szCs w:val="21"/>
          <w:highlight w:val="none"/>
        </w:rPr>
        <w:t>服务</w:t>
      </w:r>
      <w:r>
        <w:rPr>
          <w:rFonts w:ascii="宋体" w:hAnsi="宋体" w:cs="Courier New"/>
          <w:color w:val="auto"/>
          <w:szCs w:val="21"/>
          <w:highlight w:val="none"/>
        </w:rPr>
        <w:t>的全部费用，</w:t>
      </w:r>
      <w:r>
        <w:rPr>
          <w:rFonts w:hint="eastAsia" w:ascii="宋体" w:hAnsi="宋体" w:cs="Courier New"/>
          <w:color w:val="auto"/>
          <w:szCs w:val="21"/>
          <w:highlight w:val="none"/>
        </w:rPr>
        <w:t>供应商应根据采购人对服务期限和服务要求，考虑必要的技术措施（物业服务管理、设施设备维护、突发事件应急处理及安全保障措施、质量、安全、服务期限等）和合同实施过程可能发生的风险因素，结合市场价格情况及自身实力和投标风险自主报价，</w:t>
      </w:r>
      <w:r>
        <w:rPr>
          <w:rFonts w:ascii="宋体" w:hAnsi="宋体" w:cs="Courier New"/>
          <w:color w:val="auto"/>
          <w:szCs w:val="21"/>
          <w:highlight w:val="none"/>
        </w:rPr>
        <w:t>合同一旦签订，此价格在合同实施期间将不因市场价格等的变化而调整。</w:t>
      </w:r>
    </w:p>
    <w:p>
      <w:pPr>
        <w:autoSpaceDE w:val="0"/>
        <w:autoSpaceDN w:val="0"/>
        <w:adjustRightInd w:val="0"/>
        <w:spacing w:line="360" w:lineRule="auto"/>
        <w:ind w:firstLine="420" w:firstLineChars="200"/>
        <w:jc w:val="left"/>
        <w:rPr>
          <w:rFonts w:ascii="宋体" w:hAnsi="宋体" w:cs="Courier New"/>
          <w:color w:val="auto"/>
          <w:szCs w:val="21"/>
          <w:highlight w:val="none"/>
        </w:rPr>
      </w:pPr>
      <w:r>
        <w:rPr>
          <w:rFonts w:ascii="宋体" w:hAnsi="宋体" w:cs="Courier New"/>
          <w:color w:val="auto"/>
          <w:szCs w:val="21"/>
          <w:highlight w:val="none"/>
        </w:rPr>
        <w:t>10.4</w:t>
      </w:r>
      <w:r>
        <w:rPr>
          <w:rFonts w:hint="eastAsia" w:ascii="宋体" w:hAnsi="宋体" w:cs="Courier New"/>
          <w:color w:val="auto"/>
          <w:szCs w:val="21"/>
          <w:highlight w:val="none"/>
        </w:rPr>
        <w:t>须完整报价，少报、漏报、错报视为已包含在磋商总报价中，结算时不做调整。</w:t>
      </w:r>
    </w:p>
    <w:p>
      <w:pPr>
        <w:autoSpaceDE w:val="0"/>
        <w:autoSpaceDN w:val="0"/>
        <w:adjustRightInd w:val="0"/>
        <w:spacing w:line="360" w:lineRule="auto"/>
        <w:ind w:firstLine="420" w:firstLineChars="200"/>
        <w:jc w:val="left"/>
        <w:rPr>
          <w:rFonts w:ascii="宋体" w:hAnsi="宋体" w:cs="Courier New"/>
          <w:color w:val="auto"/>
          <w:szCs w:val="21"/>
          <w:highlight w:val="none"/>
        </w:rPr>
      </w:pPr>
      <w:r>
        <w:rPr>
          <w:rFonts w:ascii="宋体" w:hAnsi="宋体" w:cs="Courier New"/>
          <w:color w:val="auto"/>
          <w:szCs w:val="21"/>
          <w:highlight w:val="none"/>
        </w:rPr>
        <w:t>10.5</w:t>
      </w:r>
      <w:r>
        <w:rPr>
          <w:rFonts w:hint="eastAsia" w:ascii="宋体" w:hAnsi="宋体" w:cs="Courier New"/>
          <w:color w:val="auto"/>
          <w:szCs w:val="21"/>
          <w:highlight w:val="none"/>
        </w:rPr>
        <w:t>供应商应根据“报价表”要求填写磋商报价组成情况。</w:t>
      </w:r>
    </w:p>
    <w:p>
      <w:pPr>
        <w:spacing w:line="360" w:lineRule="auto"/>
        <w:ind w:firstLine="420" w:firstLineChars="200"/>
        <w:jc w:val="left"/>
        <w:rPr>
          <w:rFonts w:ascii="宋体"/>
          <w:b/>
          <w:color w:val="auto"/>
          <w:highlight w:val="none"/>
        </w:rPr>
      </w:pPr>
      <w:r>
        <w:rPr>
          <w:rFonts w:ascii="宋体" w:hAnsi="宋体"/>
          <w:color w:val="auto"/>
          <w:highlight w:val="none"/>
        </w:rPr>
        <w:t>10.6</w:t>
      </w:r>
      <w:r>
        <w:rPr>
          <w:rFonts w:hint="eastAsia" w:ascii="宋体" w:hAnsi="宋体"/>
          <w:b/>
          <w:color w:val="auto"/>
          <w:highlight w:val="none"/>
        </w:rPr>
        <w:t>通过实质性审查的供应商才能进入磋商程序并进行第二轮报价，第二轮报价为最终报价。</w:t>
      </w:r>
    </w:p>
    <w:p>
      <w:pPr>
        <w:spacing w:line="360" w:lineRule="auto"/>
        <w:ind w:firstLine="420" w:firstLineChars="200"/>
        <w:jc w:val="left"/>
        <w:rPr>
          <w:rFonts w:ascii="宋体"/>
          <w:b/>
          <w:color w:val="auto"/>
          <w:highlight w:val="none"/>
        </w:rPr>
      </w:pPr>
      <w:r>
        <w:rPr>
          <w:rFonts w:ascii="宋体" w:hAnsi="宋体"/>
          <w:b/>
          <w:color w:val="auto"/>
          <w:highlight w:val="none"/>
        </w:rPr>
        <w:t>10.7</w:t>
      </w:r>
      <w:r>
        <w:rPr>
          <w:rFonts w:hint="eastAsia" w:ascii="宋体" w:hAnsi="宋体"/>
          <w:b/>
          <w:color w:val="auto"/>
          <w:highlight w:val="none"/>
        </w:rPr>
        <w:t>最终报价文件应由法定代表人或委托代理人签字，在规定的时间统一密封递交。若已递交的最终报价文件若出现含义不明确、同类问题表述不一致或者签署不完整、有明显文字和计算错误的，可以进行澄清和补充，但不得改变最终报价文件中报价等实质性内容（算术性错误修正的除外）。</w:t>
      </w:r>
    </w:p>
    <w:p>
      <w:pPr>
        <w:spacing w:line="360" w:lineRule="auto"/>
        <w:ind w:firstLine="420" w:firstLineChars="200"/>
        <w:jc w:val="left"/>
        <w:rPr>
          <w:rFonts w:ascii="宋体"/>
          <w:b/>
          <w:color w:val="auto"/>
          <w:szCs w:val="21"/>
          <w:highlight w:val="none"/>
        </w:rPr>
      </w:pPr>
      <w:r>
        <w:rPr>
          <w:rFonts w:hint="eastAsia" w:ascii="宋体" w:hAnsi="宋体" w:cs="宋体"/>
          <w:color w:val="auto"/>
          <w:kern w:val="0"/>
          <w:szCs w:val="21"/>
          <w:highlight w:val="none"/>
        </w:rPr>
        <w:t>供应商的澄清、说明或者更正应当由法定代表人或其授权代表签字或者加盖公章。由授权代表签字的，应当附法定代表人授权书。供应商为自然人的，应当由本人签字并附身份证明。</w:t>
      </w:r>
    </w:p>
    <w:p>
      <w:pPr>
        <w:adjustRightInd w:val="0"/>
        <w:spacing w:line="360" w:lineRule="auto"/>
        <w:ind w:firstLine="420" w:firstLineChars="200"/>
        <w:rPr>
          <w:rFonts w:ascii="宋体"/>
          <w:color w:val="auto"/>
          <w:highlight w:val="none"/>
        </w:rPr>
      </w:pPr>
      <w:r>
        <w:rPr>
          <w:rFonts w:ascii="宋体" w:hAnsi="宋体"/>
          <w:color w:val="auto"/>
          <w:highlight w:val="none"/>
        </w:rPr>
        <w:t>10.8</w:t>
      </w:r>
      <w:r>
        <w:rPr>
          <w:rFonts w:hint="eastAsia" w:ascii="宋体" w:hAnsi="宋体"/>
          <w:color w:val="auto"/>
          <w:highlight w:val="none"/>
        </w:rPr>
        <w:t>供应商不得哄抬报价，也不应低于成本价（或进价）报价。磋商小组认为供应商的最低报价或者某些分项报价明显不合理或者低于成本，有可能影响项目质量和不能诚信履约的，将要求其在规定的期限内提供书面文件予以解释说明，并提交相关证明材料。否则，磋商小组可以取消该供应商的成交候选资格。</w:t>
      </w:r>
    </w:p>
    <w:p>
      <w:pPr>
        <w:adjustRightInd w:val="0"/>
        <w:spacing w:line="360" w:lineRule="auto"/>
        <w:ind w:firstLine="420" w:firstLineChars="200"/>
        <w:rPr>
          <w:rFonts w:ascii="宋体" w:hAnsi="宋体"/>
          <w:color w:val="auto"/>
          <w:highlight w:val="none"/>
        </w:rPr>
      </w:pPr>
      <w:r>
        <w:rPr>
          <w:rFonts w:ascii="宋体" w:hAnsi="宋体"/>
          <w:color w:val="auto"/>
          <w:highlight w:val="none"/>
        </w:rPr>
        <w:t>10.9</w:t>
      </w:r>
      <w:r>
        <w:rPr>
          <w:rFonts w:hint="eastAsia" w:ascii="宋体" w:hAnsi="宋体"/>
          <w:color w:val="auto"/>
          <w:highlight w:val="none"/>
        </w:rPr>
        <w:t>报价货币为人民币。</w:t>
      </w:r>
    </w:p>
    <w:p>
      <w:pPr>
        <w:adjustRightInd w:val="0"/>
        <w:spacing w:line="360" w:lineRule="auto"/>
        <w:ind w:firstLine="420" w:firstLineChars="200"/>
        <w:rPr>
          <w:rFonts w:ascii="宋体"/>
          <w:color w:val="auto"/>
          <w:highlight w:val="none"/>
        </w:rPr>
      </w:pPr>
      <w:r>
        <w:rPr>
          <w:rFonts w:hint="eastAsia" w:ascii="宋体"/>
          <w:color w:val="auto"/>
          <w:highlight w:val="none"/>
        </w:rPr>
        <w:t>10.10本项目不组织集中踏勘，但供应商可自行对项目现场和周围环境进行踏勘，以获取编制响应文件和签署合同所需的资料。踏勘现场所发生的费用及其一切风险由供应商自行承担。因供应商自身原因未考虑到的价格风险，由供应商自行承担，合同结算时对该部分不做调整。</w:t>
      </w:r>
    </w:p>
    <w:p>
      <w:pPr>
        <w:adjustRightInd w:val="0"/>
        <w:spacing w:line="360" w:lineRule="auto"/>
        <w:ind w:firstLine="420" w:firstLineChars="200"/>
        <w:rPr>
          <w:rFonts w:ascii="宋体"/>
          <w:color w:val="auto"/>
          <w:highlight w:val="none"/>
        </w:rPr>
      </w:pPr>
      <w:r>
        <w:rPr>
          <w:rFonts w:hint="eastAsia" w:ascii="宋体"/>
          <w:color w:val="auto"/>
          <w:highlight w:val="none"/>
        </w:rPr>
        <w:t>10.11若在项目实施过程中因供应商的实施方案不完善、或未认真理解采购方提供的相关资料及采购方要求、不满足现行国家相关规范要求等而需增加的投资等均属供应商的责任，所产生费用全部由供应商承担，包干总价不予以任何增加调整。</w:t>
      </w:r>
    </w:p>
    <w:p>
      <w:pPr>
        <w:keepNext/>
        <w:keepLines/>
        <w:tabs>
          <w:tab w:val="left" w:pos="900"/>
        </w:tabs>
        <w:spacing w:line="360" w:lineRule="auto"/>
        <w:ind w:firstLine="470" w:firstLineChars="147"/>
        <w:jc w:val="left"/>
        <w:outlineLvl w:val="2"/>
        <w:rPr>
          <w:rFonts w:ascii="宋体" w:hAnsi="宋体"/>
          <w:b/>
          <w:bCs/>
          <w:color w:val="auto"/>
          <w:kern w:val="0"/>
          <w:sz w:val="32"/>
          <w:highlight w:val="none"/>
          <w:lang w:val="zh-CN"/>
        </w:rPr>
      </w:pPr>
      <w:bookmarkStart w:id="72" w:name="_Toc383175486"/>
      <w:bookmarkStart w:id="73" w:name="_Toc329810198"/>
      <w:bookmarkStart w:id="74" w:name="_Toc86124058"/>
      <w:bookmarkStart w:id="75" w:name="_Toc383175288"/>
      <w:bookmarkStart w:id="76" w:name="_Toc383175064"/>
      <w:r>
        <w:rPr>
          <w:rFonts w:ascii="宋体" w:hAnsi="宋体"/>
          <w:b/>
          <w:bCs/>
          <w:color w:val="auto"/>
          <w:kern w:val="0"/>
          <w:sz w:val="32"/>
          <w:highlight w:val="none"/>
          <w:lang w:val="zh-CN"/>
        </w:rPr>
        <w:t>11.有效期</w:t>
      </w:r>
      <w:bookmarkEnd w:id="72"/>
      <w:bookmarkEnd w:id="73"/>
      <w:bookmarkEnd w:id="74"/>
      <w:bookmarkEnd w:id="75"/>
      <w:bookmarkEnd w:id="76"/>
    </w:p>
    <w:p>
      <w:pPr>
        <w:spacing w:line="360" w:lineRule="auto"/>
        <w:ind w:firstLine="420" w:firstLineChars="200"/>
        <w:jc w:val="left"/>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在</w:t>
      </w:r>
      <w:r>
        <w:rPr>
          <w:rFonts w:hint="eastAsia" w:ascii="宋体"/>
          <w:color w:val="auto"/>
          <w:highlight w:val="none"/>
        </w:rPr>
        <w:t>“</w:t>
      </w:r>
      <w:r>
        <w:rPr>
          <w:rFonts w:hint="eastAsia" w:ascii="宋体" w:hAnsi="宋体"/>
          <w:b/>
          <w:color w:val="auto"/>
          <w:highlight w:val="none"/>
        </w:rPr>
        <w:t>供应商须知前附表</w:t>
      </w:r>
      <w:r>
        <w:rPr>
          <w:rFonts w:hint="eastAsia" w:ascii="宋体"/>
          <w:color w:val="auto"/>
          <w:highlight w:val="none"/>
        </w:rPr>
        <w:t>”</w:t>
      </w:r>
      <w:r>
        <w:rPr>
          <w:rFonts w:hint="eastAsia" w:ascii="宋体" w:hAnsi="宋体"/>
          <w:color w:val="auto"/>
          <w:highlight w:val="none"/>
        </w:rPr>
        <w:t>规定的有效期内，供应商不得要求撤销或修改其响应文件。</w:t>
      </w:r>
    </w:p>
    <w:p>
      <w:pPr>
        <w:spacing w:line="360" w:lineRule="auto"/>
        <w:ind w:firstLine="420" w:firstLineChars="200"/>
        <w:jc w:val="left"/>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因特殊情况需要延长有效期的，采购</w:t>
      </w:r>
      <w:r>
        <w:rPr>
          <w:rFonts w:hint="eastAsia" w:ascii="宋体" w:hAnsi="宋体"/>
          <w:color w:val="auto"/>
          <w:highlight w:val="none"/>
          <w:lang w:val="en-US" w:eastAsia="zh-CN"/>
        </w:rPr>
        <w:t>人</w:t>
      </w:r>
      <w:r>
        <w:rPr>
          <w:rFonts w:hint="eastAsia" w:ascii="宋体" w:hAnsi="宋体"/>
          <w:color w:val="auto"/>
          <w:highlight w:val="none"/>
        </w:rPr>
        <w:t>以书面形式通知所有供应商延长有效期。供应商同意延长的，但不得要求或被允许修改或撤销其响应文件；供应商拒绝延长的，其响应文件失效。</w:t>
      </w:r>
    </w:p>
    <w:p>
      <w:pPr>
        <w:keepNext/>
        <w:keepLines/>
        <w:tabs>
          <w:tab w:val="left" w:pos="360"/>
        </w:tabs>
        <w:spacing w:line="360" w:lineRule="auto"/>
        <w:ind w:firstLine="470" w:firstLineChars="147"/>
        <w:jc w:val="left"/>
        <w:outlineLvl w:val="2"/>
        <w:rPr>
          <w:rFonts w:ascii="宋体" w:hAnsi="宋体"/>
          <w:b/>
          <w:bCs/>
          <w:color w:val="auto"/>
          <w:kern w:val="0"/>
          <w:sz w:val="32"/>
          <w:highlight w:val="none"/>
          <w:lang w:val="zh-CN"/>
        </w:rPr>
      </w:pPr>
      <w:bookmarkStart w:id="77" w:name="_Toc86124059"/>
      <w:bookmarkStart w:id="78" w:name="_Toc329810199"/>
      <w:bookmarkStart w:id="79" w:name="_Toc383175289"/>
      <w:bookmarkStart w:id="80" w:name="_Toc383175065"/>
      <w:bookmarkStart w:id="81" w:name="_Toc383175487"/>
      <w:r>
        <w:rPr>
          <w:rFonts w:ascii="宋体" w:hAnsi="宋体"/>
          <w:b/>
          <w:bCs/>
          <w:color w:val="auto"/>
          <w:kern w:val="0"/>
          <w:sz w:val="32"/>
          <w:highlight w:val="none"/>
          <w:lang w:val="zh-CN"/>
        </w:rPr>
        <w:t>12.响应文件的</w:t>
      </w:r>
      <w:bookmarkEnd w:id="77"/>
      <w:bookmarkEnd w:id="78"/>
      <w:r>
        <w:rPr>
          <w:rFonts w:hint="eastAsia" w:ascii="宋体" w:hAnsi="宋体"/>
          <w:b/>
          <w:bCs/>
          <w:color w:val="auto"/>
          <w:kern w:val="0"/>
          <w:sz w:val="32"/>
          <w:highlight w:val="none"/>
          <w:lang w:val="zh-CN"/>
        </w:rPr>
        <w:t>编制</w:t>
      </w:r>
      <w:bookmarkEnd w:id="79"/>
      <w:bookmarkEnd w:id="80"/>
      <w:bookmarkEnd w:id="81"/>
    </w:p>
    <w:p>
      <w:pPr>
        <w:spacing w:line="360" w:lineRule="auto"/>
        <w:ind w:firstLine="420" w:firstLineChars="200"/>
        <w:jc w:val="left"/>
        <w:rPr>
          <w:rFonts w:ascii="宋体"/>
          <w:color w:val="auto"/>
          <w:highlight w:val="none"/>
        </w:rPr>
      </w:pPr>
      <w:r>
        <w:rPr>
          <w:rFonts w:ascii="宋体" w:hAnsi="宋体"/>
          <w:color w:val="auto"/>
          <w:highlight w:val="none"/>
        </w:rPr>
        <w:t xml:space="preserve">12.1 </w:t>
      </w:r>
      <w:r>
        <w:rPr>
          <w:rFonts w:hint="eastAsia" w:ascii="宋体" w:hAnsi="宋体"/>
          <w:color w:val="auto"/>
          <w:highlight w:val="none"/>
        </w:rPr>
        <w:t>响应文件须用不褪色的墨水书写或打印。并按磋商文件要求由供应商的法定代表人或其委托代理人签字或盖单位章。</w:t>
      </w:r>
      <w:r>
        <w:rPr>
          <w:rFonts w:hint="eastAsia" w:ascii="宋体" w:hAnsi="宋体"/>
          <w:b/>
          <w:color w:val="auto"/>
          <w:highlight w:val="none"/>
        </w:rPr>
        <w:t>委托代理人签字的，响应文件应附法定代表人签署的授权委托书。</w:t>
      </w:r>
    </w:p>
    <w:p>
      <w:pPr>
        <w:spacing w:line="360" w:lineRule="auto"/>
        <w:ind w:firstLine="367" w:firstLineChars="175"/>
        <w:rPr>
          <w:rFonts w:ascii="宋体"/>
          <w:color w:val="auto"/>
          <w:highlight w:val="none"/>
        </w:rPr>
      </w:pPr>
      <w:r>
        <w:rPr>
          <w:rFonts w:ascii="宋体" w:hAnsi="宋体"/>
          <w:color w:val="auto"/>
          <w:highlight w:val="none"/>
        </w:rPr>
        <w:t xml:space="preserve">12.2 </w:t>
      </w:r>
      <w:r>
        <w:rPr>
          <w:rFonts w:hint="eastAsia" w:ascii="宋体" w:hAnsi="宋体"/>
          <w:color w:val="auto"/>
          <w:highlight w:val="none"/>
        </w:rPr>
        <w:t>响应文件应尽量避免涂改、行间插字或删除。如果出现上述情况，改动之处应加盖单位章或供应商法定代表人或其授权的代理人签字确认。</w:t>
      </w:r>
    </w:p>
    <w:p>
      <w:pPr>
        <w:spacing w:line="360" w:lineRule="auto"/>
        <w:ind w:firstLine="367" w:firstLineChars="175"/>
        <w:rPr>
          <w:rFonts w:ascii="宋体"/>
          <w:color w:val="auto"/>
          <w:highlight w:val="none"/>
        </w:rPr>
      </w:pPr>
      <w:r>
        <w:rPr>
          <w:rFonts w:ascii="宋体" w:hAnsi="宋体"/>
          <w:color w:val="auto"/>
          <w:highlight w:val="none"/>
        </w:rPr>
        <w:t>12.3</w:t>
      </w:r>
      <w:r>
        <w:rPr>
          <w:rFonts w:hint="eastAsia" w:ascii="宋体" w:hAnsi="宋体"/>
          <w:color w:val="auto"/>
          <w:highlight w:val="none"/>
        </w:rPr>
        <w:t>响应文件应由法定代表人或其委托代理人在凡规定签字处逐一签字，要求盖章处应盖单位章，若以投标专用章或合同专用章代替的，须出具供应商单位公章对投标专用章或合同专用章的授权函原件。</w:t>
      </w:r>
    </w:p>
    <w:p>
      <w:pPr>
        <w:spacing w:line="360" w:lineRule="auto"/>
        <w:ind w:firstLine="420" w:firstLineChars="200"/>
        <w:jc w:val="left"/>
        <w:rPr>
          <w:rFonts w:ascii="宋体"/>
          <w:color w:val="auto"/>
          <w:highlight w:val="none"/>
        </w:rPr>
      </w:pPr>
      <w:r>
        <w:rPr>
          <w:rFonts w:ascii="宋体" w:hAnsi="宋体"/>
          <w:color w:val="auto"/>
          <w:highlight w:val="none"/>
        </w:rPr>
        <w:t xml:space="preserve">12.4 </w:t>
      </w:r>
      <w:r>
        <w:rPr>
          <w:rFonts w:hint="eastAsia" w:ascii="宋体" w:hAnsi="宋体"/>
          <w:color w:val="auto"/>
          <w:highlight w:val="none"/>
        </w:rPr>
        <w:t>响应文件应准备正本一份，并按</w:t>
      </w:r>
      <w:r>
        <w:rPr>
          <w:rFonts w:hint="eastAsia" w:ascii="宋体"/>
          <w:color w:val="auto"/>
          <w:highlight w:val="none"/>
        </w:rPr>
        <w:t>“</w:t>
      </w:r>
      <w:r>
        <w:rPr>
          <w:rFonts w:hint="eastAsia" w:ascii="宋体" w:hAnsi="宋体"/>
          <w:b/>
          <w:color w:val="auto"/>
          <w:highlight w:val="none"/>
        </w:rPr>
        <w:t>供应商须知前附表</w:t>
      </w:r>
      <w:r>
        <w:rPr>
          <w:rFonts w:hint="eastAsia" w:ascii="宋体"/>
          <w:color w:val="auto"/>
          <w:highlight w:val="none"/>
        </w:rPr>
        <w:t>”</w:t>
      </w:r>
      <w:r>
        <w:rPr>
          <w:rFonts w:hint="eastAsia" w:ascii="宋体" w:hAnsi="宋体"/>
          <w:color w:val="auto"/>
          <w:highlight w:val="none"/>
        </w:rPr>
        <w:t>中规定的数量准备文件的副本。响应文件封面上应标明</w:t>
      </w:r>
      <w:r>
        <w:rPr>
          <w:rFonts w:hint="eastAsia" w:ascii="宋体"/>
          <w:color w:val="auto"/>
          <w:highlight w:val="none"/>
        </w:rPr>
        <w:t>“</w:t>
      </w:r>
      <w:r>
        <w:rPr>
          <w:rFonts w:hint="eastAsia" w:ascii="宋体" w:hAnsi="宋体"/>
          <w:b/>
          <w:color w:val="auto"/>
          <w:highlight w:val="none"/>
        </w:rPr>
        <w:t>正本</w:t>
      </w:r>
      <w:r>
        <w:rPr>
          <w:rFonts w:hint="eastAsia" w:ascii="宋体"/>
          <w:color w:val="auto"/>
          <w:highlight w:val="none"/>
        </w:rPr>
        <w:t>”</w:t>
      </w:r>
      <w:r>
        <w:rPr>
          <w:rFonts w:hint="eastAsia" w:ascii="宋体" w:hAnsi="宋体"/>
          <w:color w:val="auto"/>
          <w:highlight w:val="none"/>
        </w:rPr>
        <w:t>或</w:t>
      </w:r>
      <w:r>
        <w:rPr>
          <w:rFonts w:hint="eastAsia" w:ascii="宋体"/>
          <w:color w:val="auto"/>
          <w:highlight w:val="none"/>
        </w:rPr>
        <w:t>“</w:t>
      </w:r>
      <w:r>
        <w:rPr>
          <w:rFonts w:hint="eastAsia" w:ascii="宋体" w:hAnsi="宋体"/>
          <w:b/>
          <w:color w:val="auto"/>
          <w:highlight w:val="none"/>
        </w:rPr>
        <w:t>副本</w:t>
      </w:r>
      <w:r>
        <w:rPr>
          <w:rFonts w:hint="eastAsia" w:ascii="宋体"/>
          <w:color w:val="auto"/>
          <w:highlight w:val="none"/>
        </w:rPr>
        <w:t>”</w:t>
      </w:r>
      <w:r>
        <w:rPr>
          <w:rFonts w:hint="eastAsia" w:ascii="宋体" w:hAnsi="宋体"/>
          <w:color w:val="auto"/>
          <w:highlight w:val="none"/>
        </w:rPr>
        <w:t>以及项目名称、供应商名称等内容。若正本和副本不符，以正本为准。</w:t>
      </w:r>
    </w:p>
    <w:p>
      <w:pPr>
        <w:spacing w:line="360" w:lineRule="auto"/>
        <w:ind w:firstLine="420" w:firstLineChars="200"/>
        <w:jc w:val="left"/>
        <w:rPr>
          <w:color w:val="auto"/>
          <w:highlight w:val="none"/>
        </w:rPr>
      </w:pPr>
      <w:r>
        <w:rPr>
          <w:color w:val="auto"/>
          <w:highlight w:val="none"/>
        </w:rPr>
        <w:t xml:space="preserve">12.5 </w:t>
      </w:r>
      <w:r>
        <w:rPr>
          <w:rFonts w:hint="eastAsia"/>
          <w:color w:val="auto"/>
          <w:highlight w:val="none"/>
        </w:rPr>
        <w:t>响应文件正本与副本应分别装订成册，并编制目录。响应文件装订应牢固，不得采用活页夹，并要求逐页标注连续页码。</w:t>
      </w:r>
    </w:p>
    <w:p>
      <w:pPr>
        <w:spacing w:line="360" w:lineRule="auto"/>
        <w:ind w:firstLine="420" w:firstLineChars="200"/>
        <w:jc w:val="left"/>
        <w:rPr>
          <w:color w:val="auto"/>
          <w:highlight w:val="none"/>
        </w:rPr>
      </w:pPr>
      <w:r>
        <w:rPr>
          <w:rFonts w:hint="eastAsia"/>
          <w:color w:val="auto"/>
          <w:highlight w:val="none"/>
        </w:rPr>
        <w:t>12.6关键内容字迹潦草、表达不清、未按要求填写而导致非唯一理解，视为未实质性响应磋商文件的响应文件。</w:t>
      </w:r>
    </w:p>
    <w:p>
      <w:pPr>
        <w:spacing w:line="360" w:lineRule="auto"/>
        <w:ind w:firstLine="420" w:firstLineChars="200"/>
        <w:jc w:val="left"/>
        <w:rPr>
          <w:color w:val="auto"/>
          <w:highlight w:val="none"/>
        </w:rPr>
      </w:pPr>
      <w:r>
        <w:rPr>
          <w:rFonts w:hint="eastAsia"/>
          <w:color w:val="auto"/>
          <w:highlight w:val="none"/>
        </w:rPr>
        <w:t>12.7响应文件中提供的资料（包括复印件），内容必须清晰可辨，若内容模糊，无法辨识，均视为未提供。</w:t>
      </w:r>
    </w:p>
    <w:p>
      <w:pPr>
        <w:spacing w:line="360" w:lineRule="auto"/>
        <w:ind w:firstLine="420" w:firstLineChars="200"/>
        <w:jc w:val="left"/>
        <w:rPr>
          <w:color w:val="auto"/>
          <w:highlight w:val="none"/>
        </w:rPr>
      </w:pPr>
      <w:r>
        <w:rPr>
          <w:rFonts w:hint="eastAsia"/>
          <w:color w:val="auto"/>
          <w:highlight w:val="none"/>
        </w:rPr>
        <w:t>12.8响应文件中对磋商文件商务条款及技术要求的应答出现完全或绝大部分复制磋商文件要求，且未提供相应支撑材料的，视为未实质性响应磋商文件的响应文件。</w:t>
      </w:r>
    </w:p>
    <w:p>
      <w:pPr>
        <w:keepNext/>
        <w:keepLines/>
        <w:numPr>
          <w:ilvl w:val="0"/>
          <w:numId w:val="1"/>
        </w:numPr>
        <w:spacing w:line="360" w:lineRule="auto"/>
        <w:jc w:val="center"/>
        <w:outlineLvl w:val="1"/>
        <w:rPr>
          <w:rFonts w:asciiTheme="minorHAnsi" w:hAnsiTheme="minorHAnsi" w:eastAsiaTheme="minorEastAsia" w:cstheme="minorBidi"/>
          <w:b/>
          <w:bCs/>
          <w:color w:val="auto"/>
          <w:kern w:val="0"/>
          <w:sz w:val="32"/>
          <w:szCs w:val="28"/>
          <w:highlight w:val="none"/>
          <w:lang w:val="zh-CN"/>
        </w:rPr>
      </w:pPr>
      <w:bookmarkStart w:id="82" w:name="_Toc383175489"/>
      <w:bookmarkStart w:id="83" w:name="_Toc86124061"/>
      <w:r>
        <w:rPr>
          <w:rFonts w:hint="eastAsia" w:asciiTheme="minorHAnsi" w:hAnsiTheme="minorHAnsi" w:eastAsiaTheme="minorEastAsia" w:cstheme="minorBidi"/>
          <w:b/>
          <w:bCs/>
          <w:color w:val="auto"/>
          <w:kern w:val="0"/>
          <w:sz w:val="32"/>
          <w:szCs w:val="28"/>
          <w:highlight w:val="none"/>
          <w:lang w:val="zh-CN"/>
        </w:rPr>
        <w:t>响应文件的提交</w:t>
      </w:r>
      <w:bookmarkEnd w:id="82"/>
      <w:bookmarkEnd w:id="83"/>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84" w:name="_Toc383175292"/>
      <w:bookmarkStart w:id="85" w:name="_Toc329810202"/>
      <w:bookmarkStart w:id="86" w:name="_Toc383175490"/>
      <w:bookmarkStart w:id="87" w:name="_Toc86124062"/>
      <w:bookmarkStart w:id="88" w:name="_Toc383175068"/>
      <w:r>
        <w:rPr>
          <w:rFonts w:hint="eastAsia"/>
          <w:b/>
          <w:bCs/>
          <w:color w:val="auto"/>
          <w:kern w:val="0"/>
          <w:sz w:val="32"/>
          <w:highlight w:val="none"/>
          <w:lang w:val="en-US" w:eastAsia="zh-CN"/>
        </w:rPr>
        <w:t>13</w:t>
      </w:r>
      <w:r>
        <w:rPr>
          <w:rFonts w:hint="eastAsia"/>
          <w:b/>
          <w:bCs/>
          <w:color w:val="auto"/>
          <w:kern w:val="0"/>
          <w:sz w:val="32"/>
          <w:highlight w:val="none"/>
          <w:lang w:val="zh-CN"/>
        </w:rPr>
        <w:t>.响应文件的密封与标记</w:t>
      </w:r>
      <w:bookmarkEnd w:id="84"/>
      <w:bookmarkEnd w:id="85"/>
      <w:bookmarkEnd w:id="86"/>
      <w:bookmarkEnd w:id="87"/>
      <w:bookmarkEnd w:id="88"/>
    </w:p>
    <w:p>
      <w:pPr>
        <w:spacing w:line="360" w:lineRule="auto"/>
        <w:ind w:firstLine="420" w:firstLineChars="200"/>
        <w:jc w:val="left"/>
        <w:rPr>
          <w:color w:val="auto"/>
          <w:highlight w:val="none"/>
        </w:rPr>
      </w:pPr>
      <w:r>
        <w:rPr>
          <w:rFonts w:hint="eastAsia"/>
          <w:color w:val="auto"/>
          <w:highlight w:val="none"/>
          <w:lang w:val="en-US" w:eastAsia="zh-CN"/>
        </w:rPr>
        <w:t>13</w:t>
      </w:r>
      <w:r>
        <w:rPr>
          <w:color w:val="auto"/>
          <w:highlight w:val="none"/>
        </w:rPr>
        <w:t xml:space="preserve">.1 </w:t>
      </w:r>
      <w:r>
        <w:rPr>
          <w:rFonts w:hint="eastAsia"/>
          <w:color w:val="auto"/>
          <w:highlight w:val="none"/>
        </w:rPr>
        <w:t>供应商应按</w:t>
      </w:r>
      <w:r>
        <w:rPr>
          <w:color w:val="auto"/>
          <w:highlight w:val="none"/>
        </w:rPr>
        <w:t>“</w:t>
      </w:r>
      <w:r>
        <w:rPr>
          <w:rFonts w:hint="eastAsia"/>
          <w:b/>
          <w:color w:val="auto"/>
          <w:highlight w:val="none"/>
        </w:rPr>
        <w:t>供应商须知前附表</w:t>
      </w:r>
      <w:r>
        <w:rPr>
          <w:color w:val="auto"/>
          <w:highlight w:val="none"/>
        </w:rPr>
        <w:t>”</w:t>
      </w:r>
      <w:r>
        <w:rPr>
          <w:rFonts w:hint="eastAsia"/>
          <w:color w:val="auto"/>
          <w:highlight w:val="none"/>
        </w:rPr>
        <w:t>中规定的正本和副本的数量提交响应文件。</w:t>
      </w:r>
    </w:p>
    <w:p>
      <w:pPr>
        <w:spacing w:line="360" w:lineRule="auto"/>
        <w:ind w:firstLine="420" w:firstLineChars="200"/>
        <w:jc w:val="left"/>
        <w:rPr>
          <w:color w:val="auto"/>
          <w:highlight w:val="none"/>
        </w:rPr>
      </w:pPr>
      <w:r>
        <w:rPr>
          <w:rFonts w:hint="eastAsia"/>
          <w:color w:val="auto"/>
          <w:highlight w:val="none"/>
          <w:lang w:val="en-US" w:eastAsia="zh-CN"/>
        </w:rPr>
        <w:t>13</w:t>
      </w:r>
      <w:r>
        <w:rPr>
          <w:color w:val="auto"/>
          <w:highlight w:val="none"/>
        </w:rPr>
        <w:t xml:space="preserve">.2 </w:t>
      </w:r>
      <w:r>
        <w:rPr>
          <w:rFonts w:hint="eastAsia"/>
          <w:color w:val="auto"/>
          <w:highlight w:val="none"/>
        </w:rPr>
        <w:t>供应商应将正、副本文件加以密封，并在封贴处盖密封章（或公章）。</w:t>
      </w:r>
    </w:p>
    <w:p>
      <w:pPr>
        <w:numPr>
          <w:ilvl w:val="-1"/>
          <w:numId w:val="0"/>
        </w:numPr>
        <w:spacing w:line="360" w:lineRule="auto"/>
        <w:ind w:left="420" w:firstLine="0"/>
        <w:jc w:val="left"/>
        <w:rPr>
          <w:rFonts w:asciiTheme="minorHAnsi" w:hAnsiTheme="minorHAnsi" w:eastAsiaTheme="minorEastAsia" w:cstheme="minorBidi"/>
          <w:color w:val="auto"/>
          <w:szCs w:val="22"/>
          <w:highlight w:val="none"/>
        </w:rPr>
      </w:pPr>
      <w:r>
        <w:rPr>
          <w:rFonts w:hint="eastAsia" w:asciiTheme="minorHAnsi" w:hAnsiTheme="minorHAnsi" w:eastAsiaTheme="minorEastAsia" w:cstheme="minorBidi"/>
          <w:color w:val="auto"/>
          <w:szCs w:val="22"/>
          <w:highlight w:val="none"/>
          <w:lang w:val="en-US" w:eastAsia="zh-CN"/>
        </w:rPr>
        <w:t xml:space="preserve">13.3 </w:t>
      </w:r>
      <w:r>
        <w:rPr>
          <w:rFonts w:hint="eastAsia" w:asciiTheme="minorHAnsi" w:hAnsiTheme="minorHAnsi" w:eastAsiaTheme="minorEastAsia" w:cstheme="minorBidi"/>
          <w:color w:val="auto"/>
          <w:szCs w:val="22"/>
          <w:highlight w:val="none"/>
        </w:rPr>
        <w:t>响应文件袋的封面应注明项目名称、供应商名称、详细通讯地址、邮政编码。</w:t>
      </w:r>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89" w:name="_Toc383175491"/>
      <w:bookmarkStart w:id="90" w:name="_Toc383175069"/>
      <w:bookmarkStart w:id="91" w:name="_Toc86124063"/>
      <w:bookmarkStart w:id="92" w:name="_Toc329810203"/>
      <w:bookmarkStart w:id="93" w:name="_Toc383175293"/>
      <w:r>
        <w:rPr>
          <w:rFonts w:hint="eastAsia"/>
          <w:b/>
          <w:bCs/>
          <w:color w:val="auto"/>
          <w:kern w:val="0"/>
          <w:sz w:val="32"/>
          <w:highlight w:val="none"/>
          <w:lang w:val="en-US" w:eastAsia="zh-CN"/>
        </w:rPr>
        <w:t>14</w:t>
      </w:r>
      <w:r>
        <w:rPr>
          <w:rFonts w:hint="eastAsia"/>
          <w:b/>
          <w:bCs/>
          <w:color w:val="auto"/>
          <w:kern w:val="0"/>
          <w:sz w:val="32"/>
          <w:highlight w:val="none"/>
          <w:lang w:val="zh-CN"/>
        </w:rPr>
        <w:t>.递交响应文件的截止时间和地点</w:t>
      </w:r>
      <w:bookmarkEnd w:id="89"/>
      <w:bookmarkEnd w:id="90"/>
      <w:bookmarkEnd w:id="91"/>
      <w:bookmarkEnd w:id="92"/>
      <w:bookmarkEnd w:id="93"/>
    </w:p>
    <w:p>
      <w:pPr>
        <w:spacing w:line="360" w:lineRule="auto"/>
        <w:ind w:firstLine="420" w:firstLineChars="200"/>
        <w:jc w:val="left"/>
        <w:rPr>
          <w:color w:val="auto"/>
          <w:highlight w:val="none"/>
        </w:rPr>
      </w:pPr>
      <w:r>
        <w:rPr>
          <w:rFonts w:hint="eastAsia"/>
          <w:color w:val="auto"/>
          <w:highlight w:val="none"/>
          <w:lang w:val="en-US" w:eastAsia="zh-CN"/>
        </w:rPr>
        <w:t>14</w:t>
      </w:r>
      <w:r>
        <w:rPr>
          <w:color w:val="auto"/>
          <w:highlight w:val="none"/>
        </w:rPr>
        <w:t xml:space="preserve">.1 </w:t>
      </w:r>
      <w:r>
        <w:rPr>
          <w:rFonts w:hint="eastAsia"/>
          <w:color w:val="auto"/>
          <w:highlight w:val="none"/>
        </w:rPr>
        <w:t>响应文件的递交不得迟于</w:t>
      </w:r>
      <w:r>
        <w:rPr>
          <w:color w:val="auto"/>
          <w:highlight w:val="none"/>
        </w:rPr>
        <w:t>“</w:t>
      </w:r>
      <w:r>
        <w:rPr>
          <w:rFonts w:hint="eastAsia"/>
          <w:b/>
          <w:color w:val="auto"/>
          <w:highlight w:val="none"/>
        </w:rPr>
        <w:t>供应商须知前附表</w:t>
      </w:r>
      <w:r>
        <w:rPr>
          <w:color w:val="auto"/>
          <w:highlight w:val="none"/>
        </w:rPr>
        <w:t>”</w:t>
      </w:r>
      <w:r>
        <w:rPr>
          <w:rFonts w:hint="eastAsia"/>
          <w:color w:val="auto"/>
          <w:highlight w:val="none"/>
        </w:rPr>
        <w:t>规定的递交响应文件截止时间。</w:t>
      </w:r>
      <w:r>
        <w:rPr>
          <w:rFonts w:hint="eastAsia"/>
          <w:b/>
          <w:color w:val="auto"/>
          <w:highlight w:val="none"/>
        </w:rPr>
        <w:t>逾期送达的响应文件，采购人不予接收。</w:t>
      </w:r>
    </w:p>
    <w:p>
      <w:pPr>
        <w:spacing w:line="360" w:lineRule="auto"/>
        <w:ind w:firstLine="420" w:firstLineChars="200"/>
        <w:jc w:val="left"/>
        <w:rPr>
          <w:b/>
          <w:color w:val="auto"/>
          <w:highlight w:val="none"/>
        </w:rPr>
      </w:pPr>
      <w:r>
        <w:rPr>
          <w:rFonts w:hint="eastAsia"/>
          <w:color w:val="auto"/>
          <w:highlight w:val="none"/>
          <w:lang w:val="en-US" w:eastAsia="zh-CN"/>
        </w:rPr>
        <w:t>14</w:t>
      </w:r>
      <w:r>
        <w:rPr>
          <w:color w:val="auto"/>
          <w:highlight w:val="none"/>
        </w:rPr>
        <w:t xml:space="preserve">.2 </w:t>
      </w:r>
      <w:r>
        <w:rPr>
          <w:rFonts w:hint="eastAsia"/>
          <w:color w:val="auto"/>
          <w:highlight w:val="none"/>
        </w:rPr>
        <w:t>供应商必须在规定时间内将响应文件递交到</w:t>
      </w:r>
      <w:r>
        <w:rPr>
          <w:color w:val="auto"/>
          <w:highlight w:val="none"/>
        </w:rPr>
        <w:t>“</w:t>
      </w:r>
      <w:r>
        <w:rPr>
          <w:rFonts w:hint="eastAsia"/>
          <w:b/>
          <w:color w:val="auto"/>
          <w:highlight w:val="none"/>
        </w:rPr>
        <w:t>供应商须知前附表</w:t>
      </w:r>
      <w:r>
        <w:rPr>
          <w:color w:val="auto"/>
          <w:highlight w:val="none"/>
        </w:rPr>
        <w:t>”</w:t>
      </w:r>
      <w:r>
        <w:rPr>
          <w:rFonts w:hint="eastAsia"/>
          <w:color w:val="auto"/>
          <w:highlight w:val="none"/>
        </w:rPr>
        <w:t>规定的地点。</w:t>
      </w:r>
    </w:p>
    <w:p>
      <w:pPr>
        <w:spacing w:line="360" w:lineRule="auto"/>
        <w:ind w:firstLine="420" w:firstLineChars="200"/>
        <w:jc w:val="left"/>
        <w:rPr>
          <w:color w:val="auto"/>
          <w:highlight w:val="none"/>
        </w:rPr>
      </w:pPr>
      <w:r>
        <w:rPr>
          <w:rFonts w:hint="eastAsia"/>
          <w:color w:val="auto"/>
          <w:highlight w:val="none"/>
          <w:lang w:val="en-US" w:eastAsia="zh-CN"/>
        </w:rPr>
        <w:t>14</w:t>
      </w:r>
      <w:r>
        <w:rPr>
          <w:color w:val="auto"/>
          <w:highlight w:val="none"/>
        </w:rPr>
        <w:t>.3</w:t>
      </w:r>
      <w:r>
        <w:rPr>
          <w:rFonts w:hint="eastAsia" w:hAnsi="宋体"/>
          <w:color w:val="auto"/>
          <w:szCs w:val="21"/>
          <w:highlight w:val="none"/>
        </w:rPr>
        <w:t>除</w:t>
      </w:r>
      <w:r>
        <w:rPr>
          <w:color w:val="auto"/>
          <w:szCs w:val="21"/>
          <w:highlight w:val="none"/>
        </w:rPr>
        <w:t>“</w:t>
      </w:r>
      <w:r>
        <w:rPr>
          <w:rFonts w:hint="eastAsia" w:hAnsi="宋体"/>
          <w:b/>
          <w:color w:val="auto"/>
          <w:szCs w:val="21"/>
          <w:highlight w:val="none"/>
        </w:rPr>
        <w:t>供应商须知前附表</w:t>
      </w:r>
      <w:r>
        <w:rPr>
          <w:color w:val="auto"/>
          <w:szCs w:val="21"/>
          <w:highlight w:val="none"/>
        </w:rPr>
        <w:t>”</w:t>
      </w:r>
      <w:r>
        <w:rPr>
          <w:rFonts w:hint="eastAsia" w:hAnsi="宋体"/>
          <w:color w:val="auto"/>
          <w:szCs w:val="21"/>
          <w:highlight w:val="none"/>
        </w:rPr>
        <w:t>另有规定外，供应商所递交的响应文件不予退还。</w:t>
      </w:r>
    </w:p>
    <w:p>
      <w:pPr>
        <w:spacing w:line="360" w:lineRule="auto"/>
        <w:ind w:firstLine="480" w:firstLineChars="200"/>
        <w:jc w:val="left"/>
        <w:rPr>
          <w:color w:val="auto"/>
          <w:sz w:val="24"/>
          <w:highlight w:val="none"/>
        </w:rPr>
      </w:pPr>
    </w:p>
    <w:p>
      <w:pPr>
        <w:keepNext/>
        <w:keepLines/>
        <w:spacing w:line="360" w:lineRule="auto"/>
        <w:jc w:val="center"/>
        <w:outlineLvl w:val="1"/>
        <w:rPr>
          <w:b/>
          <w:bCs/>
          <w:color w:val="auto"/>
          <w:kern w:val="0"/>
          <w:sz w:val="32"/>
          <w:szCs w:val="28"/>
          <w:highlight w:val="none"/>
          <w:lang w:val="zh-CN"/>
        </w:rPr>
      </w:pPr>
      <w:bookmarkStart w:id="94" w:name="_Toc86124064"/>
      <w:bookmarkStart w:id="95" w:name="_Toc383175492"/>
      <w:r>
        <w:rPr>
          <w:rFonts w:hint="eastAsia"/>
          <w:b/>
          <w:bCs/>
          <w:color w:val="auto"/>
          <w:kern w:val="0"/>
          <w:sz w:val="32"/>
          <w:szCs w:val="28"/>
          <w:highlight w:val="none"/>
          <w:lang w:val="zh-CN"/>
        </w:rPr>
        <w:t>五、磋商</w:t>
      </w:r>
      <w:bookmarkEnd w:id="94"/>
      <w:bookmarkEnd w:id="95"/>
    </w:p>
    <w:p>
      <w:pPr>
        <w:keepNext/>
        <w:keepLines/>
        <w:tabs>
          <w:tab w:val="left" w:pos="360"/>
        </w:tabs>
        <w:spacing w:line="360" w:lineRule="auto"/>
        <w:ind w:firstLine="470" w:firstLineChars="147"/>
        <w:jc w:val="left"/>
        <w:outlineLvl w:val="2"/>
        <w:rPr>
          <w:b/>
          <w:bCs/>
          <w:color w:val="auto"/>
          <w:kern w:val="0"/>
          <w:sz w:val="32"/>
          <w:highlight w:val="none"/>
          <w:lang w:val="zh-CN"/>
        </w:rPr>
      </w:pPr>
      <w:r>
        <w:rPr>
          <w:rFonts w:hint="eastAsia"/>
          <w:b/>
          <w:bCs/>
          <w:color w:val="auto"/>
          <w:kern w:val="0"/>
          <w:sz w:val="32"/>
          <w:highlight w:val="none"/>
          <w:lang w:val="zh-CN"/>
        </w:rPr>
        <w:t>1</w:t>
      </w:r>
      <w:r>
        <w:rPr>
          <w:rFonts w:hint="eastAsia"/>
          <w:b/>
          <w:bCs/>
          <w:color w:val="auto"/>
          <w:kern w:val="0"/>
          <w:sz w:val="32"/>
          <w:highlight w:val="none"/>
          <w:lang w:val="en-US" w:eastAsia="zh-CN"/>
        </w:rPr>
        <w:t>5</w:t>
      </w:r>
      <w:r>
        <w:rPr>
          <w:rFonts w:hint="eastAsia"/>
          <w:b/>
          <w:bCs/>
          <w:color w:val="auto"/>
          <w:kern w:val="0"/>
          <w:sz w:val="32"/>
          <w:highlight w:val="none"/>
          <w:lang w:val="zh-CN"/>
        </w:rPr>
        <w:t>.磋商</w:t>
      </w:r>
    </w:p>
    <w:p>
      <w:pPr>
        <w:spacing w:line="360" w:lineRule="auto"/>
        <w:ind w:firstLine="420" w:firstLineChars="200"/>
        <w:jc w:val="left"/>
        <w:rPr>
          <w:color w:val="auto"/>
          <w:highlight w:val="none"/>
        </w:rPr>
      </w:pPr>
      <w:r>
        <w:rPr>
          <w:color w:val="auto"/>
          <w:highlight w:val="none"/>
        </w:rPr>
        <w:t>1</w:t>
      </w:r>
      <w:r>
        <w:rPr>
          <w:rFonts w:hint="eastAsia"/>
          <w:color w:val="auto"/>
          <w:highlight w:val="none"/>
          <w:lang w:val="en-US" w:eastAsia="zh-CN"/>
        </w:rPr>
        <w:t>5</w:t>
      </w:r>
      <w:r>
        <w:rPr>
          <w:color w:val="auto"/>
          <w:highlight w:val="none"/>
        </w:rPr>
        <w:t>.1</w:t>
      </w:r>
      <w:r>
        <w:rPr>
          <w:rFonts w:hint="eastAsia"/>
          <w:color w:val="auto"/>
          <w:highlight w:val="none"/>
        </w:rPr>
        <w:t>采购</w:t>
      </w:r>
      <w:r>
        <w:rPr>
          <w:rFonts w:hint="eastAsia"/>
          <w:color w:val="auto"/>
          <w:highlight w:val="none"/>
          <w:lang w:val="en-US" w:eastAsia="zh-CN"/>
        </w:rPr>
        <w:t>人</w:t>
      </w:r>
      <w:r>
        <w:rPr>
          <w:rFonts w:hint="eastAsia"/>
          <w:color w:val="auto"/>
          <w:highlight w:val="none"/>
        </w:rPr>
        <w:t>将在</w:t>
      </w:r>
      <w:r>
        <w:rPr>
          <w:color w:val="auto"/>
          <w:highlight w:val="none"/>
        </w:rPr>
        <w:t>“</w:t>
      </w:r>
      <w:r>
        <w:rPr>
          <w:rFonts w:hint="eastAsia"/>
          <w:b/>
          <w:color w:val="auto"/>
          <w:highlight w:val="none"/>
        </w:rPr>
        <w:t>供应商须知前附表</w:t>
      </w:r>
      <w:r>
        <w:rPr>
          <w:color w:val="auto"/>
          <w:highlight w:val="none"/>
        </w:rPr>
        <w:t>”</w:t>
      </w:r>
      <w:r>
        <w:rPr>
          <w:rFonts w:hint="eastAsia"/>
          <w:color w:val="auto"/>
          <w:highlight w:val="none"/>
        </w:rPr>
        <w:t>规定的时间和地点进行磋商，供应商的法定代表人或其委托代理人应按时参加。</w:t>
      </w:r>
    </w:p>
    <w:p>
      <w:pPr>
        <w:spacing w:line="360" w:lineRule="auto"/>
        <w:ind w:firstLine="420" w:firstLineChars="200"/>
        <w:jc w:val="left"/>
        <w:rPr>
          <w:color w:val="auto"/>
          <w:highlight w:val="none"/>
        </w:rPr>
      </w:pPr>
      <w:r>
        <w:rPr>
          <w:color w:val="auto"/>
          <w:highlight w:val="none"/>
        </w:rPr>
        <w:t>1</w:t>
      </w:r>
      <w:r>
        <w:rPr>
          <w:rFonts w:hint="eastAsia"/>
          <w:color w:val="auto"/>
          <w:highlight w:val="none"/>
          <w:lang w:val="en-US" w:eastAsia="zh-CN"/>
        </w:rPr>
        <w:t>5</w:t>
      </w:r>
      <w:r>
        <w:rPr>
          <w:color w:val="auto"/>
          <w:highlight w:val="none"/>
        </w:rPr>
        <w:t xml:space="preserve">.2 </w:t>
      </w:r>
      <w:r>
        <w:rPr>
          <w:rFonts w:hint="eastAsia"/>
          <w:color w:val="auto"/>
          <w:highlight w:val="none"/>
        </w:rPr>
        <w:t>磋商由磋商小组负责。磋商小组由采购人的代表和有关技术、经济等方面的专家组成，成员人数应当为3人以上单数。其中，技术、经济等方面的专家不得少于成员总数的三分之二。磋商应当推选组长，但采购人代表不得担任组长。采购人可以委派纪检监察等相关人员进入磋商现场，对磋商工作实施监督，但不得超过２人。</w:t>
      </w:r>
    </w:p>
    <w:p>
      <w:pPr>
        <w:spacing w:line="360" w:lineRule="auto"/>
        <w:ind w:firstLine="420" w:firstLineChars="200"/>
        <w:jc w:val="left"/>
        <w:rPr>
          <w:color w:val="auto"/>
          <w:highlight w:val="none"/>
        </w:rPr>
      </w:pPr>
      <w:r>
        <w:rPr>
          <w:color w:val="auto"/>
          <w:highlight w:val="none"/>
        </w:rPr>
        <w:t>1</w:t>
      </w:r>
      <w:r>
        <w:rPr>
          <w:rFonts w:hint="eastAsia"/>
          <w:color w:val="auto"/>
          <w:highlight w:val="none"/>
          <w:lang w:val="en-US" w:eastAsia="zh-CN"/>
        </w:rPr>
        <w:t>5</w:t>
      </w:r>
      <w:r>
        <w:rPr>
          <w:color w:val="auto"/>
          <w:highlight w:val="none"/>
        </w:rPr>
        <w:t xml:space="preserve">.3 </w:t>
      </w:r>
      <w:r>
        <w:rPr>
          <w:rFonts w:hint="eastAsia"/>
          <w:color w:val="auto"/>
          <w:highlight w:val="none"/>
        </w:rPr>
        <w:t>磋商原则</w:t>
      </w:r>
    </w:p>
    <w:p>
      <w:pPr>
        <w:tabs>
          <w:tab w:val="left" w:pos="798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磋商小组对各供应商的响应文件进行详细评审。磋商小组按照得分的高低推荐成交候选人，推荐成交候选人</w:t>
      </w:r>
      <w:r>
        <w:rPr>
          <w:rFonts w:ascii="宋体" w:hAnsi="宋体"/>
          <w:color w:val="auto"/>
          <w:szCs w:val="21"/>
          <w:highlight w:val="none"/>
        </w:rPr>
        <w:t>3人，并标明排列顺序。</w:t>
      </w:r>
    </w:p>
    <w:p>
      <w:pPr>
        <w:tabs>
          <w:tab w:val="left" w:pos="7980"/>
        </w:tabs>
        <w:spacing w:line="360" w:lineRule="auto"/>
        <w:ind w:firstLine="420" w:firstLineChars="200"/>
        <w:jc w:val="left"/>
        <w:rPr>
          <w:color w:val="auto"/>
          <w:highlight w:val="none"/>
        </w:rPr>
      </w:pPr>
      <w:r>
        <w:rPr>
          <w:color w:val="auto"/>
          <w:highlight w:val="none"/>
        </w:rPr>
        <w:t>1</w:t>
      </w:r>
      <w:r>
        <w:rPr>
          <w:rFonts w:hint="eastAsia"/>
          <w:color w:val="auto"/>
          <w:highlight w:val="none"/>
          <w:lang w:val="en-US" w:eastAsia="zh-CN"/>
        </w:rPr>
        <w:t>5</w:t>
      </w:r>
      <w:r>
        <w:rPr>
          <w:color w:val="auto"/>
          <w:highlight w:val="none"/>
        </w:rPr>
        <w:t xml:space="preserve">.4 </w:t>
      </w:r>
      <w:r>
        <w:rPr>
          <w:rFonts w:hint="eastAsia"/>
          <w:color w:val="auto"/>
          <w:highlight w:val="none"/>
        </w:rPr>
        <w:t>磋商程序和方法</w:t>
      </w:r>
    </w:p>
    <w:p>
      <w:pPr>
        <w:spacing w:line="360" w:lineRule="auto"/>
        <w:ind w:firstLine="420" w:firstLineChars="200"/>
        <w:jc w:val="left"/>
        <w:rPr>
          <w:color w:val="auto"/>
          <w:highlight w:val="none"/>
        </w:rPr>
      </w:pPr>
      <w:r>
        <w:rPr>
          <w:rFonts w:hint="eastAsia"/>
          <w:color w:val="auto"/>
          <w:highlight w:val="none"/>
        </w:rPr>
        <w:t>磋商小组按照第六章</w:t>
      </w:r>
      <w:r>
        <w:rPr>
          <w:color w:val="auto"/>
          <w:highlight w:val="none"/>
        </w:rPr>
        <w:t>“</w:t>
      </w:r>
      <w:r>
        <w:rPr>
          <w:rFonts w:hint="eastAsia"/>
          <w:color w:val="auto"/>
          <w:highlight w:val="none"/>
        </w:rPr>
        <w:t>磋商程序和方法</w:t>
      </w:r>
      <w:r>
        <w:rPr>
          <w:color w:val="auto"/>
          <w:highlight w:val="none"/>
        </w:rPr>
        <w:t>”</w:t>
      </w:r>
      <w:r>
        <w:rPr>
          <w:rFonts w:hint="eastAsia"/>
          <w:color w:val="auto"/>
          <w:highlight w:val="none"/>
        </w:rPr>
        <w:t>规定的方法、因素、标准和程序进行磋商。</w:t>
      </w:r>
    </w:p>
    <w:p>
      <w:pPr>
        <w:spacing w:line="360" w:lineRule="auto"/>
        <w:ind w:firstLine="420" w:firstLineChars="200"/>
        <w:jc w:val="left"/>
        <w:rPr>
          <w:rFonts w:ascii="宋体"/>
          <w:color w:val="auto"/>
          <w:szCs w:val="21"/>
          <w:highlight w:val="none"/>
        </w:rPr>
      </w:pPr>
      <w:r>
        <w:rPr>
          <w:color w:val="auto"/>
          <w:szCs w:val="21"/>
          <w:highlight w:val="none"/>
        </w:rPr>
        <w:t>1</w:t>
      </w:r>
      <w:r>
        <w:rPr>
          <w:rFonts w:hint="eastAsia"/>
          <w:color w:val="auto"/>
          <w:szCs w:val="21"/>
          <w:highlight w:val="none"/>
          <w:lang w:val="en-US" w:eastAsia="zh-CN"/>
        </w:rPr>
        <w:t>5</w:t>
      </w:r>
      <w:r>
        <w:rPr>
          <w:color w:val="auto"/>
          <w:szCs w:val="21"/>
          <w:highlight w:val="none"/>
        </w:rPr>
        <w:t>.5</w:t>
      </w:r>
      <w:r>
        <w:rPr>
          <w:rFonts w:hint="eastAsia" w:ascii="宋体"/>
          <w:color w:val="auto"/>
          <w:szCs w:val="21"/>
          <w:highlight w:val="none"/>
        </w:rPr>
        <w:t>磋商文件</w:t>
      </w:r>
      <w:r>
        <w:rPr>
          <w:rFonts w:hint="eastAsia"/>
          <w:b/>
          <w:color w:val="auto"/>
          <w:szCs w:val="21"/>
          <w:highlight w:val="none"/>
          <w:u w:val="single"/>
        </w:rPr>
        <w:t>第六章</w:t>
      </w:r>
      <w:r>
        <w:rPr>
          <w:b/>
          <w:color w:val="auto"/>
          <w:szCs w:val="21"/>
          <w:highlight w:val="none"/>
          <w:u w:val="single"/>
        </w:rPr>
        <w:t>“</w:t>
      </w:r>
      <w:r>
        <w:rPr>
          <w:rFonts w:hint="eastAsia"/>
          <w:b/>
          <w:color w:val="auto"/>
          <w:szCs w:val="21"/>
          <w:highlight w:val="none"/>
          <w:u w:val="single"/>
        </w:rPr>
        <w:t>磋商程序和方法</w:t>
      </w:r>
      <w:r>
        <w:rPr>
          <w:b/>
          <w:color w:val="auto"/>
          <w:szCs w:val="21"/>
          <w:highlight w:val="none"/>
          <w:u w:val="single"/>
        </w:rPr>
        <w:t>”</w:t>
      </w:r>
      <w:r>
        <w:rPr>
          <w:rFonts w:hint="eastAsia"/>
          <w:b/>
          <w:color w:val="auto"/>
          <w:szCs w:val="21"/>
          <w:highlight w:val="none"/>
          <w:u w:val="single"/>
        </w:rPr>
        <w:t>前附表第</w:t>
      </w:r>
      <w:r>
        <w:rPr>
          <w:b/>
          <w:color w:val="auto"/>
          <w:szCs w:val="21"/>
          <w:highlight w:val="none"/>
          <w:u w:val="single"/>
        </w:rPr>
        <w:t>2.1</w:t>
      </w:r>
      <w:r>
        <w:rPr>
          <w:rFonts w:hint="eastAsia"/>
          <w:b/>
          <w:color w:val="auto"/>
          <w:szCs w:val="21"/>
          <w:highlight w:val="none"/>
          <w:u w:val="single"/>
        </w:rPr>
        <w:t>款实质性要求为磋商文件的实质性内容，未实质性响应磋商文件的供应商的响应文件将按无效处理，该供应商不得再继续参加磋商</w:t>
      </w:r>
      <w:r>
        <w:rPr>
          <w:rFonts w:hint="eastAsia" w:ascii="宋体"/>
          <w:color w:val="auto"/>
          <w:szCs w:val="21"/>
          <w:highlight w:val="none"/>
        </w:rPr>
        <w:t>。</w:t>
      </w:r>
    </w:p>
    <w:p>
      <w:pPr>
        <w:spacing w:line="360" w:lineRule="auto"/>
        <w:ind w:firstLine="420" w:firstLineChars="200"/>
        <w:jc w:val="left"/>
        <w:rPr>
          <w:rFonts w:ascii="宋体"/>
          <w:color w:val="auto"/>
          <w:szCs w:val="21"/>
          <w:highlight w:val="none"/>
        </w:rPr>
      </w:pPr>
      <w:r>
        <w:rPr>
          <w:rFonts w:ascii="宋体"/>
          <w:color w:val="auto"/>
          <w:szCs w:val="21"/>
          <w:highlight w:val="none"/>
        </w:rPr>
        <w:t>1</w:t>
      </w:r>
      <w:r>
        <w:rPr>
          <w:rFonts w:hint="eastAsia" w:ascii="宋体"/>
          <w:color w:val="auto"/>
          <w:szCs w:val="21"/>
          <w:highlight w:val="none"/>
          <w:lang w:val="en-US" w:eastAsia="zh-CN"/>
        </w:rPr>
        <w:t>5</w:t>
      </w:r>
      <w:r>
        <w:rPr>
          <w:rFonts w:ascii="宋体"/>
          <w:color w:val="auto"/>
          <w:szCs w:val="21"/>
          <w:highlight w:val="none"/>
        </w:rPr>
        <w:t>.</w:t>
      </w:r>
      <w:r>
        <w:rPr>
          <w:rFonts w:hint="eastAsia" w:ascii="宋体"/>
          <w:color w:val="auto"/>
          <w:szCs w:val="21"/>
          <w:highlight w:val="none"/>
        </w:rPr>
        <w:t>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jc w:val="left"/>
        <w:rPr>
          <w:rFonts w:ascii="宋体"/>
          <w:color w:val="auto"/>
          <w:szCs w:val="21"/>
          <w:highlight w:val="none"/>
        </w:rPr>
      </w:pPr>
      <w:r>
        <w:rPr>
          <w:rFonts w:hint="eastAsia" w:asci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96" w:name="_Toc383175296"/>
      <w:bookmarkStart w:id="97" w:name="_Toc383175072"/>
      <w:bookmarkStart w:id="98" w:name="_Toc383175494"/>
      <w:bookmarkStart w:id="99" w:name="_Toc329810207"/>
      <w:bookmarkStart w:id="100" w:name="_Toc86124067"/>
      <w:r>
        <w:rPr>
          <w:rFonts w:hint="eastAsia"/>
          <w:b/>
          <w:bCs/>
          <w:color w:val="auto"/>
          <w:kern w:val="0"/>
          <w:sz w:val="32"/>
          <w:highlight w:val="none"/>
          <w:lang w:val="zh-CN"/>
        </w:rPr>
        <w:t>1</w:t>
      </w:r>
      <w:r>
        <w:rPr>
          <w:rFonts w:hint="eastAsia"/>
          <w:b/>
          <w:bCs/>
          <w:color w:val="auto"/>
          <w:kern w:val="0"/>
          <w:sz w:val="32"/>
          <w:highlight w:val="none"/>
          <w:lang w:val="en-US" w:eastAsia="zh-CN"/>
        </w:rPr>
        <w:t>6</w:t>
      </w:r>
      <w:r>
        <w:rPr>
          <w:rFonts w:hint="eastAsia"/>
          <w:b/>
          <w:bCs/>
          <w:color w:val="auto"/>
          <w:kern w:val="0"/>
          <w:sz w:val="32"/>
          <w:highlight w:val="none"/>
          <w:lang w:val="zh-CN"/>
        </w:rPr>
        <w:t>.磋商过程的保密</w:t>
      </w:r>
      <w:bookmarkEnd w:id="96"/>
      <w:bookmarkEnd w:id="97"/>
      <w:bookmarkEnd w:id="98"/>
      <w:bookmarkEnd w:id="99"/>
      <w:bookmarkEnd w:id="100"/>
    </w:p>
    <w:p>
      <w:pPr>
        <w:spacing w:line="360" w:lineRule="auto"/>
        <w:ind w:firstLine="420" w:firstLineChars="200"/>
        <w:jc w:val="left"/>
        <w:rPr>
          <w:color w:val="auto"/>
          <w:highlight w:val="none"/>
        </w:rPr>
      </w:pPr>
      <w:r>
        <w:rPr>
          <w:rFonts w:hint="eastAsia"/>
          <w:color w:val="auto"/>
          <w:highlight w:val="none"/>
        </w:rPr>
        <w:t>在磋商中，磋商的任何一方不得透露与磋商有关的其他供应商的技术资料、价格和其他信息。磋商开始后，直到授予供应商合同止，凡是属于审查、澄清、磋商和比较的有关资料以及成交建议等均不向供应商或其他人员透露。</w:t>
      </w:r>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101" w:name="_Toc86124068"/>
      <w:bookmarkStart w:id="102" w:name="_Toc329810208"/>
      <w:bookmarkStart w:id="103" w:name="_Toc378499713"/>
      <w:bookmarkStart w:id="104" w:name="_Toc383175073"/>
      <w:bookmarkStart w:id="105" w:name="_Toc383175495"/>
      <w:bookmarkStart w:id="106" w:name="_Toc383175297"/>
      <w:r>
        <w:rPr>
          <w:rFonts w:hint="eastAsia"/>
          <w:b/>
          <w:bCs/>
          <w:color w:val="auto"/>
          <w:kern w:val="0"/>
          <w:sz w:val="32"/>
          <w:highlight w:val="none"/>
          <w:lang w:val="zh-CN"/>
        </w:rPr>
        <w:t>1</w:t>
      </w:r>
      <w:r>
        <w:rPr>
          <w:rFonts w:hint="eastAsia"/>
          <w:b/>
          <w:bCs/>
          <w:color w:val="auto"/>
          <w:kern w:val="0"/>
          <w:sz w:val="32"/>
          <w:highlight w:val="none"/>
          <w:lang w:val="en-US" w:eastAsia="zh-CN"/>
        </w:rPr>
        <w:t>7</w:t>
      </w:r>
      <w:r>
        <w:rPr>
          <w:rFonts w:hint="eastAsia"/>
          <w:b/>
          <w:bCs/>
          <w:color w:val="auto"/>
          <w:kern w:val="0"/>
          <w:sz w:val="32"/>
          <w:highlight w:val="none"/>
          <w:lang w:val="zh-CN"/>
        </w:rPr>
        <w:t>.出现下列情形之一的，将终止竞争性磋商采购活动，并发布项目终止公告并说明原因，重新开展采购活动：</w:t>
      </w:r>
      <w:bookmarkEnd w:id="101"/>
      <w:bookmarkEnd w:id="102"/>
      <w:bookmarkEnd w:id="103"/>
      <w:bookmarkEnd w:id="104"/>
      <w:bookmarkEnd w:id="105"/>
      <w:bookmarkEnd w:id="106"/>
    </w:p>
    <w:p>
      <w:pPr>
        <w:spacing w:line="360" w:lineRule="auto"/>
        <w:ind w:firstLine="420" w:firstLineChars="200"/>
        <w:jc w:val="left"/>
        <w:rPr>
          <w:color w:val="auto"/>
          <w:highlight w:val="none"/>
        </w:rPr>
      </w:pPr>
      <w:r>
        <w:rPr>
          <w:rFonts w:hint="eastAsia"/>
          <w:color w:val="auto"/>
          <w:highlight w:val="none"/>
        </w:rPr>
        <w:t>（</w:t>
      </w:r>
      <w:r>
        <w:rPr>
          <w:color w:val="auto"/>
          <w:highlight w:val="none"/>
        </w:rPr>
        <w:t>1</w:t>
      </w:r>
      <w:r>
        <w:rPr>
          <w:rFonts w:hint="eastAsia"/>
          <w:color w:val="auto"/>
          <w:highlight w:val="none"/>
        </w:rPr>
        <w:t>）因情况变化，不再符合规定的竞争性磋商采购方式适用情形的；</w:t>
      </w:r>
    </w:p>
    <w:p>
      <w:pPr>
        <w:spacing w:line="360" w:lineRule="auto"/>
        <w:ind w:firstLine="420" w:firstLineChars="200"/>
        <w:jc w:val="left"/>
        <w:rPr>
          <w:color w:val="auto"/>
          <w:highlight w:val="none"/>
        </w:rPr>
      </w:pPr>
      <w:r>
        <w:rPr>
          <w:rFonts w:hint="eastAsia"/>
          <w:color w:val="auto"/>
          <w:highlight w:val="none"/>
        </w:rPr>
        <w:t>（</w:t>
      </w:r>
      <w:r>
        <w:rPr>
          <w:color w:val="auto"/>
          <w:highlight w:val="none"/>
        </w:rPr>
        <w:t>2</w:t>
      </w:r>
      <w:r>
        <w:rPr>
          <w:rFonts w:hint="eastAsia"/>
          <w:color w:val="auto"/>
          <w:highlight w:val="none"/>
        </w:rPr>
        <w:t>）出现影响采购公正的违法、违规行为的；</w:t>
      </w:r>
    </w:p>
    <w:p>
      <w:pPr>
        <w:spacing w:line="360" w:lineRule="auto"/>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）在采购过程中符合竞争要求的供应商或者</w:t>
      </w:r>
      <w:r>
        <w:rPr>
          <w:rFonts w:hint="eastAsia"/>
          <w:b/>
          <w:color w:val="auto"/>
          <w:highlight w:val="none"/>
        </w:rPr>
        <w:t>报价未超过采购预算(控制价)的供应商不足</w:t>
      </w:r>
      <w:r>
        <w:rPr>
          <w:b/>
          <w:color w:val="auto"/>
          <w:highlight w:val="none"/>
        </w:rPr>
        <w:t>3</w:t>
      </w:r>
      <w:r>
        <w:rPr>
          <w:rFonts w:hint="eastAsia"/>
          <w:b/>
          <w:color w:val="auto"/>
          <w:highlight w:val="none"/>
        </w:rPr>
        <w:t>家</w:t>
      </w:r>
      <w:r>
        <w:rPr>
          <w:rFonts w:hint="eastAsia"/>
          <w:color w:val="auto"/>
          <w:highlight w:val="none"/>
        </w:rPr>
        <w:t>的。</w:t>
      </w:r>
    </w:p>
    <w:p>
      <w:pPr>
        <w:spacing w:line="360" w:lineRule="auto"/>
        <w:ind w:firstLine="420" w:firstLineChars="200"/>
        <w:jc w:val="left"/>
        <w:rPr>
          <w:color w:val="auto"/>
          <w:highlight w:val="none"/>
        </w:rPr>
      </w:pPr>
      <w:r>
        <w:rPr>
          <w:rFonts w:hint="eastAsia" w:ascii="宋体" w:hAnsi="宋体"/>
          <w:color w:val="auto"/>
          <w:kern w:val="0"/>
          <w:szCs w:val="21"/>
          <w:highlight w:val="none"/>
        </w:rPr>
        <w:t>当响应磋商文件实质性要求的供应商少于</w:t>
      </w:r>
      <w:r>
        <w:rPr>
          <w:rFonts w:ascii="宋体" w:hAnsi="宋体"/>
          <w:color w:val="auto"/>
          <w:kern w:val="0"/>
          <w:szCs w:val="21"/>
          <w:highlight w:val="none"/>
        </w:rPr>
        <w:t>3家时，磋商小组可以否决全部磋商申请。当响应磋商文件实质性要求的供应商为2家时，磋商小组经评审认为仍具有竞争力时，磋商小组可继续进行评审。当响应磋商文件实质性要求的供应商只有1家的，应当终止竞争性磋商采购活动，发布项目终止公告并说明原因，重新开展采购活动。</w:t>
      </w:r>
    </w:p>
    <w:p>
      <w:pPr>
        <w:spacing w:line="360" w:lineRule="auto"/>
        <w:ind w:firstLine="420" w:firstLineChars="200"/>
        <w:jc w:val="left"/>
        <w:rPr>
          <w:color w:val="auto"/>
          <w:highlight w:val="none"/>
        </w:rPr>
      </w:pPr>
    </w:p>
    <w:p>
      <w:pPr>
        <w:keepNext/>
        <w:keepLines/>
        <w:numPr>
          <w:ilvl w:val="0"/>
          <w:numId w:val="5"/>
        </w:numPr>
        <w:spacing w:line="360" w:lineRule="auto"/>
        <w:jc w:val="center"/>
        <w:outlineLvl w:val="1"/>
        <w:rPr>
          <w:rFonts w:asciiTheme="minorHAnsi" w:hAnsiTheme="minorHAnsi" w:eastAsiaTheme="minorEastAsia" w:cstheme="minorBidi"/>
          <w:b/>
          <w:bCs/>
          <w:color w:val="auto"/>
          <w:kern w:val="0"/>
          <w:sz w:val="32"/>
          <w:szCs w:val="28"/>
          <w:highlight w:val="none"/>
          <w:lang w:val="zh-CN"/>
        </w:rPr>
      </w:pPr>
      <w:bookmarkStart w:id="107" w:name="_Toc383175496"/>
      <w:bookmarkStart w:id="108" w:name="_Toc86124069"/>
      <w:r>
        <w:rPr>
          <w:rFonts w:hint="eastAsia" w:asciiTheme="minorHAnsi" w:hAnsiTheme="minorHAnsi" w:eastAsiaTheme="minorEastAsia" w:cstheme="minorBidi"/>
          <w:b/>
          <w:bCs/>
          <w:color w:val="auto"/>
          <w:kern w:val="0"/>
          <w:sz w:val="32"/>
          <w:szCs w:val="28"/>
          <w:highlight w:val="none"/>
          <w:lang w:val="zh-CN"/>
        </w:rPr>
        <w:t>成交结果</w:t>
      </w:r>
      <w:bookmarkEnd w:id="107"/>
      <w:bookmarkEnd w:id="108"/>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109" w:name="_Toc383175497"/>
      <w:bookmarkStart w:id="110" w:name="_Toc383175075"/>
      <w:bookmarkStart w:id="111" w:name="_Toc383175299"/>
      <w:bookmarkStart w:id="112" w:name="_Toc329810210"/>
      <w:bookmarkStart w:id="113" w:name="_Toc86124070"/>
      <w:r>
        <w:rPr>
          <w:rFonts w:hint="eastAsia"/>
          <w:b/>
          <w:bCs/>
          <w:color w:val="auto"/>
          <w:kern w:val="0"/>
          <w:sz w:val="32"/>
          <w:highlight w:val="none"/>
          <w:lang w:val="zh-CN"/>
        </w:rPr>
        <w:t>1</w:t>
      </w:r>
      <w:r>
        <w:rPr>
          <w:rFonts w:hint="eastAsia"/>
          <w:b/>
          <w:bCs/>
          <w:color w:val="auto"/>
          <w:kern w:val="0"/>
          <w:sz w:val="32"/>
          <w:highlight w:val="none"/>
          <w:lang w:val="en-US" w:eastAsia="zh-CN"/>
        </w:rPr>
        <w:t>8</w:t>
      </w:r>
      <w:r>
        <w:rPr>
          <w:rFonts w:hint="eastAsia"/>
          <w:b/>
          <w:bCs/>
          <w:color w:val="auto"/>
          <w:kern w:val="0"/>
          <w:sz w:val="32"/>
          <w:highlight w:val="none"/>
          <w:lang w:val="zh-CN"/>
        </w:rPr>
        <w:t>.成交人的确定</w:t>
      </w:r>
      <w:bookmarkEnd w:id="109"/>
      <w:bookmarkEnd w:id="110"/>
      <w:bookmarkEnd w:id="111"/>
      <w:bookmarkEnd w:id="112"/>
      <w:bookmarkEnd w:id="113"/>
    </w:p>
    <w:p>
      <w:pPr>
        <w:spacing w:line="360" w:lineRule="auto"/>
        <w:ind w:firstLine="420" w:firstLineChars="200"/>
        <w:jc w:val="left"/>
        <w:rPr>
          <w:color w:val="auto"/>
          <w:highlight w:val="none"/>
        </w:rPr>
      </w:pPr>
      <w:bookmarkStart w:id="114" w:name="_Toc329810211"/>
      <w:r>
        <w:rPr>
          <w:color w:val="auto"/>
          <w:highlight w:val="none"/>
        </w:rPr>
        <w:t>1</w:t>
      </w:r>
      <w:r>
        <w:rPr>
          <w:rFonts w:hint="eastAsia"/>
          <w:color w:val="auto"/>
          <w:highlight w:val="none"/>
          <w:lang w:val="en-US" w:eastAsia="zh-CN"/>
        </w:rPr>
        <w:t>8</w:t>
      </w:r>
      <w:r>
        <w:rPr>
          <w:color w:val="auto"/>
          <w:highlight w:val="none"/>
        </w:rPr>
        <w:t>.1</w:t>
      </w:r>
      <w:r>
        <w:rPr>
          <w:rFonts w:hint="eastAsia"/>
          <w:color w:val="auto"/>
          <w:highlight w:val="none"/>
        </w:rPr>
        <w:t>采购</w:t>
      </w:r>
      <w:r>
        <w:rPr>
          <w:rFonts w:hint="eastAsia"/>
          <w:color w:val="auto"/>
          <w:highlight w:val="none"/>
          <w:lang w:val="en-US" w:eastAsia="zh-CN"/>
        </w:rPr>
        <w:t>人</w:t>
      </w:r>
      <w:r>
        <w:rPr>
          <w:rFonts w:hint="eastAsia"/>
          <w:color w:val="auto"/>
          <w:highlight w:val="none"/>
        </w:rPr>
        <w:t>在评审结束后</w:t>
      </w:r>
      <w:r>
        <w:rPr>
          <w:color w:val="auto"/>
          <w:highlight w:val="none"/>
        </w:rPr>
        <w:t>2</w:t>
      </w:r>
      <w:r>
        <w:rPr>
          <w:rFonts w:hint="eastAsia"/>
          <w:color w:val="auto"/>
          <w:highlight w:val="none"/>
        </w:rPr>
        <w:t>个工作日内</w:t>
      </w:r>
      <w:r>
        <w:rPr>
          <w:rFonts w:hint="eastAsia"/>
          <w:color w:val="auto"/>
          <w:highlight w:val="none"/>
          <w:lang w:val="en-US" w:eastAsia="zh-CN"/>
        </w:rPr>
        <w:t>制作完成</w:t>
      </w:r>
      <w:r>
        <w:rPr>
          <w:rFonts w:hint="eastAsia"/>
          <w:color w:val="auto"/>
          <w:highlight w:val="none"/>
        </w:rPr>
        <w:t>评审报告。</w:t>
      </w:r>
    </w:p>
    <w:p>
      <w:pPr>
        <w:spacing w:line="360" w:lineRule="auto"/>
        <w:ind w:firstLine="420" w:firstLineChars="200"/>
        <w:jc w:val="left"/>
        <w:rPr>
          <w:color w:val="auto"/>
          <w:highlight w:val="none"/>
        </w:rPr>
      </w:pPr>
      <w:r>
        <w:rPr>
          <w:color w:val="auto"/>
          <w:highlight w:val="none"/>
        </w:rPr>
        <w:t>1</w:t>
      </w:r>
      <w:r>
        <w:rPr>
          <w:rFonts w:hint="eastAsia"/>
          <w:color w:val="auto"/>
          <w:highlight w:val="none"/>
          <w:lang w:val="en-US" w:eastAsia="zh-CN"/>
        </w:rPr>
        <w:t>8</w:t>
      </w:r>
      <w:r>
        <w:rPr>
          <w:color w:val="auto"/>
          <w:highlight w:val="none"/>
        </w:rPr>
        <w:t>.2</w:t>
      </w:r>
      <w:r>
        <w:rPr>
          <w:rFonts w:hint="eastAsia"/>
          <w:color w:val="auto"/>
          <w:highlight w:val="none"/>
        </w:rPr>
        <w:t>采购人应当在</w:t>
      </w:r>
      <w:r>
        <w:rPr>
          <w:rFonts w:hint="eastAsia"/>
          <w:color w:val="auto"/>
          <w:highlight w:val="none"/>
          <w:lang w:val="en-US" w:eastAsia="zh-CN"/>
        </w:rPr>
        <w:t>完成</w:t>
      </w:r>
      <w:r>
        <w:rPr>
          <w:rFonts w:hint="eastAsia"/>
          <w:color w:val="auto"/>
          <w:highlight w:val="none"/>
        </w:rPr>
        <w:t>评审报告</w:t>
      </w:r>
      <w:r>
        <w:rPr>
          <w:rFonts w:hint="eastAsia"/>
          <w:color w:val="auto"/>
          <w:highlight w:val="none"/>
          <w:lang w:val="en-US" w:eastAsia="zh-CN"/>
        </w:rPr>
        <w:t>制作</w:t>
      </w:r>
      <w:r>
        <w:rPr>
          <w:rFonts w:hint="eastAsia"/>
          <w:color w:val="auto"/>
          <w:highlight w:val="none"/>
        </w:rPr>
        <w:t>后</w:t>
      </w:r>
      <w:r>
        <w:rPr>
          <w:color w:val="auto"/>
          <w:highlight w:val="none"/>
        </w:rPr>
        <w:t>5</w:t>
      </w:r>
      <w:r>
        <w:rPr>
          <w:rFonts w:hint="eastAsia"/>
          <w:color w:val="auto"/>
          <w:highlight w:val="none"/>
        </w:rPr>
        <w:t>个工作日内，从评审报告提出的成交候选人中，按照综合得分由高到低的的原则确定成交供应商。</w:t>
      </w:r>
    </w:p>
    <w:p>
      <w:pPr>
        <w:keepNext/>
        <w:keepLines/>
        <w:tabs>
          <w:tab w:val="left" w:pos="360"/>
        </w:tabs>
        <w:spacing w:line="360" w:lineRule="auto"/>
        <w:ind w:firstLine="313" w:firstLineChars="98"/>
        <w:jc w:val="left"/>
        <w:outlineLvl w:val="2"/>
        <w:rPr>
          <w:b/>
          <w:bCs/>
          <w:color w:val="auto"/>
          <w:kern w:val="0"/>
          <w:sz w:val="32"/>
          <w:highlight w:val="none"/>
          <w:lang w:val="zh-CN"/>
        </w:rPr>
      </w:pPr>
      <w:bookmarkStart w:id="115" w:name="_Toc383175300"/>
      <w:bookmarkStart w:id="116" w:name="_Toc383175498"/>
      <w:bookmarkStart w:id="117" w:name="_Toc383175076"/>
      <w:r>
        <w:rPr>
          <w:rFonts w:hint="eastAsia"/>
          <w:b/>
          <w:bCs/>
          <w:color w:val="auto"/>
          <w:kern w:val="0"/>
          <w:sz w:val="32"/>
          <w:highlight w:val="none"/>
          <w:lang w:val="en-US" w:eastAsia="zh-CN"/>
        </w:rPr>
        <w:t>19</w:t>
      </w:r>
      <w:r>
        <w:rPr>
          <w:rFonts w:hint="eastAsia"/>
          <w:b/>
          <w:bCs/>
          <w:color w:val="auto"/>
          <w:kern w:val="0"/>
          <w:sz w:val="32"/>
          <w:highlight w:val="none"/>
          <w:lang w:val="zh-CN"/>
        </w:rPr>
        <w:t>.成交通知书</w:t>
      </w:r>
      <w:bookmarkEnd w:id="114"/>
      <w:bookmarkEnd w:id="115"/>
      <w:bookmarkEnd w:id="116"/>
      <w:bookmarkEnd w:id="117"/>
    </w:p>
    <w:p>
      <w:pPr>
        <w:spacing w:line="360" w:lineRule="auto"/>
        <w:ind w:firstLine="420" w:firstLineChars="200"/>
        <w:jc w:val="left"/>
        <w:rPr>
          <w:color w:val="auto"/>
          <w:highlight w:val="none"/>
        </w:rPr>
      </w:pPr>
      <w:bookmarkStart w:id="118" w:name="_Toc329810212"/>
      <w:bookmarkStart w:id="119" w:name="_Toc86124072"/>
      <w:r>
        <w:rPr>
          <w:rFonts w:hint="eastAsia"/>
          <w:color w:val="auto"/>
          <w:highlight w:val="none"/>
          <w:lang w:val="en-US" w:eastAsia="zh-CN"/>
        </w:rPr>
        <w:t>19</w:t>
      </w:r>
      <w:r>
        <w:rPr>
          <w:color w:val="auto"/>
          <w:highlight w:val="none"/>
        </w:rPr>
        <w:t>.1</w:t>
      </w:r>
      <w:r>
        <w:rPr>
          <w:rFonts w:hint="eastAsia"/>
          <w:color w:val="auto"/>
          <w:highlight w:val="none"/>
        </w:rPr>
        <w:t>采购</w:t>
      </w:r>
      <w:r>
        <w:rPr>
          <w:rFonts w:hint="eastAsia"/>
          <w:color w:val="auto"/>
          <w:highlight w:val="none"/>
          <w:lang w:val="en-US" w:eastAsia="zh-CN"/>
        </w:rPr>
        <w:t>人</w:t>
      </w:r>
      <w:r>
        <w:rPr>
          <w:rFonts w:hint="eastAsia"/>
          <w:color w:val="auto"/>
          <w:highlight w:val="none"/>
        </w:rPr>
        <w:t>将在成交供应商确定后</w:t>
      </w:r>
      <w:r>
        <w:rPr>
          <w:color w:val="auto"/>
          <w:highlight w:val="none"/>
        </w:rPr>
        <w:t>2</w:t>
      </w:r>
      <w:r>
        <w:rPr>
          <w:rFonts w:hint="eastAsia"/>
          <w:color w:val="auto"/>
          <w:highlight w:val="none"/>
        </w:rPr>
        <w:t>个工作日内，在</w:t>
      </w:r>
      <w:r>
        <w:rPr>
          <w:rFonts w:hint="eastAsia"/>
          <w:color w:val="auto"/>
          <w:highlight w:val="none"/>
          <w:lang w:val="en-US" w:eastAsia="zh-CN"/>
        </w:rPr>
        <w:t>官</w:t>
      </w:r>
      <w:r>
        <w:rPr>
          <w:rFonts w:hint="eastAsia"/>
          <w:color w:val="auto"/>
          <w:highlight w:val="none"/>
        </w:rPr>
        <w:t>网上公告</w:t>
      </w:r>
      <w:r>
        <w:rPr>
          <w:color w:val="auto"/>
          <w:highlight w:val="none"/>
        </w:rPr>
        <w:t>,</w:t>
      </w:r>
      <w:r>
        <w:rPr>
          <w:rFonts w:hint="eastAsia"/>
          <w:color w:val="auto"/>
          <w:highlight w:val="none"/>
        </w:rPr>
        <w:t>同时向成交供应商发出成交通知书。</w:t>
      </w:r>
    </w:p>
    <w:p>
      <w:pPr>
        <w:spacing w:line="360" w:lineRule="auto"/>
        <w:ind w:firstLine="420" w:firstLineChars="200"/>
        <w:jc w:val="left"/>
        <w:rPr>
          <w:color w:val="auto"/>
          <w:highlight w:val="none"/>
        </w:rPr>
      </w:pPr>
      <w:r>
        <w:rPr>
          <w:rFonts w:hint="eastAsia"/>
          <w:color w:val="auto"/>
          <w:highlight w:val="none"/>
          <w:lang w:val="en-US" w:eastAsia="zh-CN"/>
        </w:rPr>
        <w:t>19</w:t>
      </w:r>
      <w:r>
        <w:rPr>
          <w:color w:val="auto"/>
          <w:highlight w:val="none"/>
        </w:rPr>
        <w:t xml:space="preserve">.2 </w:t>
      </w:r>
      <w:r>
        <w:rPr>
          <w:rFonts w:hint="eastAsia"/>
          <w:color w:val="auto"/>
          <w:highlight w:val="none"/>
        </w:rPr>
        <w:t>成交通知书是合同的一个组成部分。</w:t>
      </w:r>
    </w:p>
    <w:p>
      <w:pPr>
        <w:spacing w:line="360" w:lineRule="auto"/>
        <w:ind w:firstLine="420" w:firstLineChars="200"/>
        <w:jc w:val="left"/>
        <w:rPr>
          <w:color w:val="auto"/>
          <w:highlight w:val="none"/>
        </w:rPr>
      </w:pPr>
      <w:r>
        <w:rPr>
          <w:rFonts w:hint="eastAsia"/>
          <w:color w:val="auto"/>
          <w:highlight w:val="none"/>
          <w:lang w:val="en-US" w:eastAsia="zh-CN"/>
        </w:rPr>
        <w:t>19</w:t>
      </w:r>
      <w:r>
        <w:rPr>
          <w:color w:val="auto"/>
          <w:highlight w:val="none"/>
        </w:rPr>
        <w:t>.3</w:t>
      </w:r>
      <w:r>
        <w:rPr>
          <w:rFonts w:hint="eastAsia"/>
          <w:color w:val="auto"/>
          <w:highlight w:val="none"/>
        </w:rPr>
        <w:t>除不可抗力等因素外，成交通知书发出后，采购人改变成交结果，或者成交供应商拒绝签订合同的，应当承担相应的法律责任。</w:t>
      </w:r>
    </w:p>
    <w:p>
      <w:pPr>
        <w:spacing w:line="360" w:lineRule="auto"/>
        <w:ind w:firstLine="420" w:firstLineChars="200"/>
        <w:jc w:val="left"/>
        <w:rPr>
          <w:color w:val="auto"/>
          <w:highlight w:val="none"/>
        </w:rPr>
      </w:pPr>
      <w:r>
        <w:rPr>
          <w:rFonts w:hint="eastAsia"/>
          <w:color w:val="auto"/>
          <w:highlight w:val="none"/>
          <w:lang w:val="en-US" w:eastAsia="zh-CN"/>
        </w:rPr>
        <w:t>19</w:t>
      </w:r>
      <w:r>
        <w:rPr>
          <w:color w:val="auto"/>
          <w:highlight w:val="none"/>
        </w:rPr>
        <w:t>.4</w:t>
      </w:r>
      <w:r>
        <w:rPr>
          <w:rFonts w:hint="eastAsia"/>
          <w:color w:val="auto"/>
          <w:highlight w:val="none"/>
        </w:rPr>
        <w:t>采购</w:t>
      </w:r>
      <w:r>
        <w:rPr>
          <w:rFonts w:hint="eastAsia"/>
          <w:color w:val="auto"/>
          <w:highlight w:val="none"/>
          <w:lang w:val="en-US" w:eastAsia="zh-CN"/>
        </w:rPr>
        <w:t>人</w:t>
      </w:r>
      <w:r>
        <w:rPr>
          <w:rFonts w:hint="eastAsia"/>
          <w:color w:val="auto"/>
          <w:highlight w:val="none"/>
        </w:rPr>
        <w:t>无义务向未成交供应商解释未成交原因和退回响应文件。</w:t>
      </w:r>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120" w:name="_Toc383175077"/>
      <w:bookmarkStart w:id="121" w:name="_Toc383175301"/>
      <w:bookmarkStart w:id="122" w:name="_Toc383175499"/>
      <w:r>
        <w:rPr>
          <w:rFonts w:hint="eastAsia"/>
          <w:b/>
          <w:bCs/>
          <w:color w:val="auto"/>
          <w:kern w:val="0"/>
          <w:sz w:val="32"/>
          <w:highlight w:val="none"/>
          <w:lang w:val="zh-CN"/>
        </w:rPr>
        <w:t>2</w:t>
      </w:r>
      <w:r>
        <w:rPr>
          <w:rFonts w:hint="eastAsia"/>
          <w:b/>
          <w:bCs/>
          <w:color w:val="auto"/>
          <w:kern w:val="0"/>
          <w:sz w:val="32"/>
          <w:highlight w:val="none"/>
          <w:lang w:val="en-US" w:eastAsia="zh-CN"/>
        </w:rPr>
        <w:t>0</w:t>
      </w:r>
      <w:r>
        <w:rPr>
          <w:rFonts w:hint="eastAsia"/>
          <w:b/>
          <w:bCs/>
          <w:color w:val="auto"/>
          <w:kern w:val="0"/>
          <w:sz w:val="32"/>
          <w:highlight w:val="none"/>
          <w:lang w:val="zh-CN"/>
        </w:rPr>
        <w:t>.签订合同</w:t>
      </w:r>
      <w:bookmarkEnd w:id="118"/>
      <w:bookmarkEnd w:id="119"/>
      <w:bookmarkEnd w:id="120"/>
      <w:bookmarkEnd w:id="121"/>
      <w:bookmarkEnd w:id="122"/>
      <w:bookmarkStart w:id="123" w:name="_Toc86124073"/>
      <w:bookmarkStart w:id="124" w:name="_Toc329810213"/>
    </w:p>
    <w:p>
      <w:pPr>
        <w:keepNext/>
        <w:keepLines/>
        <w:tabs>
          <w:tab w:val="left" w:pos="360"/>
          <w:tab w:val="left" w:pos="786"/>
        </w:tabs>
        <w:spacing w:line="360" w:lineRule="auto"/>
        <w:ind w:left="426"/>
        <w:jc w:val="left"/>
        <w:outlineLvl w:val="2"/>
        <w:rPr>
          <w:b/>
          <w:bCs/>
          <w:color w:val="auto"/>
          <w:kern w:val="0"/>
          <w:sz w:val="32"/>
          <w:highlight w:val="none"/>
          <w:lang w:val="zh-CN"/>
        </w:rPr>
      </w:pPr>
      <w:r>
        <w:rPr>
          <w:rFonts w:hint="eastAsia"/>
          <w:color w:val="auto"/>
          <w:highlight w:val="none"/>
        </w:rPr>
        <w:t>2</w:t>
      </w:r>
      <w:r>
        <w:rPr>
          <w:rFonts w:hint="eastAsia"/>
          <w:color w:val="auto"/>
          <w:highlight w:val="none"/>
          <w:lang w:val="en-US" w:eastAsia="zh-CN"/>
        </w:rPr>
        <w:t>0</w:t>
      </w:r>
      <w:r>
        <w:rPr>
          <w:rFonts w:hint="eastAsia"/>
          <w:color w:val="auto"/>
          <w:highlight w:val="none"/>
        </w:rPr>
        <w:t>.1采购人与成交供应商应当在成交通知书发出之日起</w:t>
      </w:r>
      <w:r>
        <w:rPr>
          <w:color w:val="auto"/>
          <w:highlight w:val="none"/>
        </w:rPr>
        <w:t>30</w:t>
      </w:r>
      <w:r>
        <w:rPr>
          <w:rFonts w:hint="eastAsia"/>
          <w:color w:val="auto"/>
          <w:highlight w:val="none"/>
        </w:rPr>
        <w:t>日内，按照采购文件确定的合同文本以及采购标的、规格型号、采购金额、采购数量、技术和服务要求等事项签订合同。</w:t>
      </w:r>
    </w:p>
    <w:p>
      <w:pPr>
        <w:keepNext/>
        <w:keepLines/>
        <w:tabs>
          <w:tab w:val="left" w:pos="360"/>
          <w:tab w:val="left" w:pos="786"/>
        </w:tabs>
        <w:spacing w:line="360" w:lineRule="auto"/>
        <w:ind w:left="426"/>
        <w:jc w:val="left"/>
        <w:outlineLvl w:val="2"/>
        <w:rPr>
          <w:b/>
          <w:bCs/>
          <w:color w:val="auto"/>
          <w:kern w:val="0"/>
          <w:sz w:val="32"/>
          <w:highlight w:val="none"/>
          <w:lang w:val="zh-CN"/>
        </w:rPr>
      </w:pPr>
      <w:r>
        <w:rPr>
          <w:rFonts w:hint="eastAsia"/>
          <w:color w:val="auto"/>
          <w:highlight w:val="none"/>
        </w:rPr>
        <w:t>2</w:t>
      </w:r>
      <w:r>
        <w:rPr>
          <w:rFonts w:hint="eastAsia"/>
          <w:color w:val="auto"/>
          <w:highlight w:val="none"/>
          <w:lang w:val="en-US" w:eastAsia="zh-CN"/>
        </w:rPr>
        <w:t>0</w:t>
      </w:r>
      <w:r>
        <w:rPr>
          <w:rFonts w:hint="eastAsia"/>
          <w:color w:val="auto"/>
          <w:highlight w:val="none"/>
        </w:rPr>
        <w:t>.2成交供应商拒绝签订合同的，采购人可以参照《政府采购竞争性磋商采购方式管理暂行办法》规定的原则确定其他供应商作为成交供应商并签订合同，也可以重新开展采购活动。拒绝签订合同的成交供应商不得参加对该项目重新开展的采购活动。</w:t>
      </w:r>
    </w:p>
    <w:bookmarkEnd w:id="123"/>
    <w:bookmarkEnd w:id="124"/>
    <w:p>
      <w:pPr>
        <w:tabs>
          <w:tab w:val="left" w:pos="8610"/>
        </w:tabs>
        <w:spacing w:line="360" w:lineRule="auto"/>
        <w:ind w:firstLine="420" w:firstLineChars="200"/>
        <w:jc w:val="left"/>
        <w:rPr>
          <w:color w:val="auto"/>
          <w:highlight w:val="none"/>
        </w:rPr>
      </w:pPr>
      <w:r>
        <w:rPr>
          <w:color w:val="auto"/>
          <w:highlight w:val="none"/>
        </w:rPr>
        <w:tab/>
      </w:r>
    </w:p>
    <w:p>
      <w:pPr>
        <w:keepNext/>
        <w:keepLines/>
        <w:spacing w:line="360" w:lineRule="auto"/>
        <w:jc w:val="center"/>
        <w:outlineLvl w:val="1"/>
        <w:rPr>
          <w:b/>
          <w:bCs/>
          <w:color w:val="auto"/>
          <w:kern w:val="0"/>
          <w:sz w:val="32"/>
          <w:szCs w:val="28"/>
          <w:highlight w:val="none"/>
          <w:lang w:val="zh-CN"/>
        </w:rPr>
      </w:pPr>
      <w:bookmarkStart w:id="125" w:name="_Toc86124074"/>
      <w:bookmarkStart w:id="126" w:name="_Toc383175501"/>
      <w:r>
        <w:rPr>
          <w:rFonts w:hint="eastAsia"/>
          <w:b/>
          <w:bCs/>
          <w:color w:val="auto"/>
          <w:kern w:val="0"/>
          <w:sz w:val="32"/>
          <w:szCs w:val="28"/>
          <w:highlight w:val="none"/>
          <w:lang w:val="zh-CN"/>
        </w:rPr>
        <w:t>七、其他事项</w:t>
      </w:r>
      <w:bookmarkEnd w:id="125"/>
      <w:bookmarkEnd w:id="126"/>
    </w:p>
    <w:p>
      <w:pPr>
        <w:keepNext/>
        <w:keepLines/>
        <w:spacing w:line="360" w:lineRule="auto"/>
        <w:ind w:firstLine="470" w:firstLineChars="147"/>
        <w:outlineLvl w:val="2"/>
        <w:rPr>
          <w:b/>
          <w:bCs/>
          <w:color w:val="auto"/>
          <w:kern w:val="0"/>
          <w:sz w:val="32"/>
          <w:highlight w:val="none"/>
          <w:lang w:val="zh-CN"/>
        </w:rPr>
      </w:pPr>
      <w:bookmarkStart w:id="127" w:name="_Toc329810215"/>
      <w:bookmarkStart w:id="128" w:name="_Toc383175080"/>
      <w:bookmarkStart w:id="129" w:name="_Toc383175304"/>
      <w:bookmarkStart w:id="130" w:name="_Toc383175502"/>
      <w:r>
        <w:rPr>
          <w:rFonts w:hint="eastAsia"/>
          <w:b/>
          <w:bCs/>
          <w:color w:val="auto"/>
          <w:kern w:val="0"/>
          <w:sz w:val="32"/>
          <w:highlight w:val="none"/>
          <w:lang w:val="zh-CN"/>
        </w:rPr>
        <w:t>2</w:t>
      </w:r>
      <w:r>
        <w:rPr>
          <w:rFonts w:hint="eastAsia"/>
          <w:b/>
          <w:bCs/>
          <w:color w:val="auto"/>
          <w:kern w:val="0"/>
          <w:sz w:val="32"/>
          <w:highlight w:val="none"/>
          <w:lang w:val="en-US" w:eastAsia="zh-CN"/>
        </w:rPr>
        <w:t>1</w:t>
      </w:r>
      <w:r>
        <w:rPr>
          <w:rFonts w:hint="eastAsia"/>
          <w:b/>
          <w:bCs/>
          <w:color w:val="auto"/>
          <w:kern w:val="0"/>
          <w:sz w:val="32"/>
          <w:highlight w:val="none"/>
          <w:lang w:val="zh-CN"/>
        </w:rPr>
        <w:t>.投诉</w:t>
      </w:r>
      <w:bookmarkEnd w:id="127"/>
      <w:bookmarkEnd w:id="128"/>
      <w:bookmarkEnd w:id="129"/>
      <w:bookmarkEnd w:id="130"/>
    </w:p>
    <w:p>
      <w:pPr>
        <w:spacing w:line="360" w:lineRule="auto"/>
        <w:ind w:firstLine="420" w:firstLineChars="200"/>
        <w:jc w:val="left"/>
        <w:rPr>
          <w:color w:val="auto"/>
          <w:highlight w:val="none"/>
        </w:rPr>
      </w:pPr>
      <w:r>
        <w:rPr>
          <w:color w:val="auto"/>
          <w:highlight w:val="none"/>
        </w:rPr>
        <w:t>2</w:t>
      </w:r>
      <w:r>
        <w:rPr>
          <w:rFonts w:hint="eastAsia"/>
          <w:color w:val="auto"/>
          <w:highlight w:val="none"/>
          <w:lang w:val="en-US" w:eastAsia="zh-CN"/>
        </w:rPr>
        <w:t>1</w:t>
      </w:r>
      <w:r>
        <w:rPr>
          <w:color w:val="auto"/>
          <w:highlight w:val="none"/>
        </w:rPr>
        <w:t>.1</w:t>
      </w:r>
      <w:r>
        <w:rPr>
          <w:rFonts w:hint="eastAsia"/>
          <w:color w:val="auto"/>
          <w:highlight w:val="none"/>
        </w:rPr>
        <w:t>供应商和其他利害关系人认为本次招标投标活动违反法律、法规和规章规定的，有权向有关行政监督部门投诉。。</w:t>
      </w:r>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131" w:name="_Toc329810217"/>
      <w:bookmarkStart w:id="132" w:name="_Toc383175504"/>
      <w:bookmarkStart w:id="133" w:name="_Toc383175306"/>
      <w:bookmarkStart w:id="134" w:name="_Toc383175082"/>
      <w:r>
        <w:rPr>
          <w:rFonts w:hint="eastAsia"/>
          <w:b/>
          <w:bCs/>
          <w:color w:val="auto"/>
          <w:kern w:val="0"/>
          <w:sz w:val="32"/>
          <w:highlight w:val="none"/>
          <w:lang w:val="zh-CN"/>
        </w:rPr>
        <w:t>2</w:t>
      </w:r>
      <w:r>
        <w:rPr>
          <w:rFonts w:hint="eastAsia"/>
          <w:b/>
          <w:bCs/>
          <w:color w:val="auto"/>
          <w:kern w:val="0"/>
          <w:sz w:val="32"/>
          <w:highlight w:val="none"/>
          <w:lang w:val="en-US" w:eastAsia="zh-CN"/>
        </w:rPr>
        <w:t>2</w:t>
      </w:r>
      <w:r>
        <w:rPr>
          <w:rFonts w:hint="eastAsia"/>
          <w:b/>
          <w:bCs/>
          <w:color w:val="auto"/>
          <w:kern w:val="0"/>
          <w:sz w:val="32"/>
          <w:highlight w:val="none"/>
          <w:lang w:val="zh-CN"/>
        </w:rPr>
        <w:t>.磋商文件编制依据</w:t>
      </w:r>
      <w:bookmarkEnd w:id="131"/>
      <w:bookmarkEnd w:id="132"/>
      <w:bookmarkEnd w:id="133"/>
      <w:bookmarkEnd w:id="134"/>
    </w:p>
    <w:p>
      <w:pPr>
        <w:spacing w:line="360" w:lineRule="auto"/>
        <w:ind w:firstLine="420" w:firstLineChars="200"/>
        <w:jc w:val="left"/>
        <w:rPr>
          <w:color w:val="auto"/>
          <w:szCs w:val="21"/>
          <w:highlight w:val="none"/>
        </w:rPr>
      </w:pPr>
      <w:r>
        <w:rPr>
          <w:rFonts w:hint="eastAsia"/>
          <w:color w:val="auto"/>
          <w:szCs w:val="21"/>
          <w:highlight w:val="none"/>
        </w:rPr>
        <w:t>本磋商文件是参照《政府采购竞争性磋商采购方式管理暂行办法》及相关法律法规编制。</w:t>
      </w:r>
    </w:p>
    <w:p>
      <w:pPr>
        <w:keepNext/>
        <w:keepLines/>
        <w:tabs>
          <w:tab w:val="left" w:pos="360"/>
        </w:tabs>
        <w:spacing w:line="360" w:lineRule="auto"/>
        <w:ind w:firstLine="470" w:firstLineChars="147"/>
        <w:jc w:val="left"/>
        <w:outlineLvl w:val="2"/>
        <w:rPr>
          <w:b/>
          <w:bCs/>
          <w:color w:val="auto"/>
          <w:kern w:val="0"/>
          <w:sz w:val="32"/>
          <w:highlight w:val="none"/>
          <w:lang w:val="zh-CN"/>
        </w:rPr>
      </w:pPr>
      <w:bookmarkStart w:id="135" w:name="_Toc383175083"/>
      <w:bookmarkStart w:id="136" w:name="_Toc86124077"/>
      <w:bookmarkStart w:id="137" w:name="_Toc383175307"/>
      <w:bookmarkStart w:id="138" w:name="_Toc383175505"/>
      <w:bookmarkStart w:id="139" w:name="_Toc329810218"/>
      <w:r>
        <w:rPr>
          <w:rFonts w:hint="eastAsia"/>
          <w:b/>
          <w:bCs/>
          <w:color w:val="auto"/>
          <w:kern w:val="0"/>
          <w:sz w:val="32"/>
          <w:highlight w:val="none"/>
          <w:lang w:val="zh-CN"/>
        </w:rPr>
        <w:t>2</w:t>
      </w:r>
      <w:r>
        <w:rPr>
          <w:rFonts w:hint="eastAsia"/>
          <w:b/>
          <w:bCs/>
          <w:color w:val="auto"/>
          <w:kern w:val="0"/>
          <w:sz w:val="32"/>
          <w:highlight w:val="none"/>
          <w:lang w:val="en-US" w:eastAsia="zh-CN"/>
        </w:rPr>
        <w:t>3</w:t>
      </w:r>
      <w:r>
        <w:rPr>
          <w:rFonts w:hint="eastAsia"/>
          <w:b/>
          <w:bCs/>
          <w:color w:val="auto"/>
          <w:kern w:val="0"/>
          <w:sz w:val="32"/>
          <w:highlight w:val="none"/>
          <w:lang w:val="zh-CN"/>
        </w:rPr>
        <w:t>.需要补充的其他内容</w:t>
      </w:r>
      <w:bookmarkEnd w:id="135"/>
      <w:bookmarkEnd w:id="136"/>
      <w:bookmarkEnd w:id="137"/>
      <w:bookmarkEnd w:id="138"/>
      <w:bookmarkEnd w:id="139"/>
    </w:p>
    <w:p>
      <w:pPr>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lang w:val="en-US" w:eastAsia="zh-CN"/>
        </w:rPr>
        <w:t>3</w:t>
      </w:r>
      <w:r>
        <w:rPr>
          <w:color w:val="auto"/>
          <w:szCs w:val="21"/>
          <w:highlight w:val="none"/>
        </w:rPr>
        <w:t>.1</w:t>
      </w:r>
      <w:r>
        <w:rPr>
          <w:rFonts w:hint="eastAsia"/>
          <w:color w:val="auto"/>
          <w:szCs w:val="21"/>
          <w:highlight w:val="none"/>
        </w:rPr>
        <w:t>需要补充的其他内容：见</w:t>
      </w:r>
      <w:r>
        <w:rPr>
          <w:color w:val="auto"/>
          <w:szCs w:val="21"/>
          <w:highlight w:val="none"/>
        </w:rPr>
        <w:t>“</w:t>
      </w:r>
      <w:r>
        <w:rPr>
          <w:rFonts w:hint="eastAsia"/>
          <w:b/>
          <w:color w:val="auto"/>
          <w:szCs w:val="21"/>
          <w:highlight w:val="none"/>
        </w:rPr>
        <w:t>供应商须知前附表</w:t>
      </w:r>
      <w:r>
        <w:rPr>
          <w:color w:val="auto"/>
          <w:szCs w:val="21"/>
          <w:highlight w:val="none"/>
        </w:rPr>
        <w:t>”</w:t>
      </w:r>
      <w:r>
        <w:rPr>
          <w:rFonts w:hint="eastAsia"/>
          <w:color w:val="auto"/>
          <w:szCs w:val="21"/>
          <w:highlight w:val="none"/>
        </w:rPr>
        <w:t>。</w:t>
      </w:r>
    </w:p>
    <w:p>
      <w:pPr>
        <w:keepNext/>
        <w:autoSpaceDE w:val="0"/>
        <w:autoSpaceDN w:val="0"/>
        <w:adjustRightInd w:val="0"/>
        <w:jc w:val="center"/>
        <w:outlineLvl w:val="0"/>
        <w:rPr>
          <w:b/>
          <w:bCs/>
          <w:color w:val="auto"/>
          <w:kern w:val="0"/>
          <w:sz w:val="32"/>
          <w:szCs w:val="32"/>
          <w:highlight w:val="none"/>
          <w:lang w:val="zh-CN"/>
        </w:rPr>
      </w:pPr>
      <w:bookmarkStart w:id="140" w:name="_Toc86124078"/>
      <w:r>
        <w:rPr>
          <w:b/>
          <w:bCs/>
          <w:color w:val="auto"/>
          <w:kern w:val="0"/>
          <w:sz w:val="32"/>
          <w:szCs w:val="32"/>
          <w:highlight w:val="none"/>
          <w:lang w:val="zh-CN"/>
        </w:rPr>
        <w:br w:type="page"/>
      </w:r>
      <w:bookmarkStart w:id="141" w:name="_Toc383175506"/>
      <w:r>
        <w:rPr>
          <w:rFonts w:hint="eastAsia" w:hAnsi="宋体"/>
          <w:b/>
          <w:bCs/>
          <w:color w:val="auto"/>
          <w:kern w:val="0"/>
          <w:sz w:val="32"/>
          <w:szCs w:val="20"/>
          <w:highlight w:val="none"/>
          <w:lang w:val="zh-CN"/>
        </w:rPr>
        <w:t>第三章合同书样式及主要条款</w:t>
      </w:r>
      <w:bookmarkEnd w:id="140"/>
      <w:bookmarkEnd w:id="141"/>
    </w:p>
    <w:p>
      <w:pPr>
        <w:spacing w:line="360" w:lineRule="auto"/>
        <w:jc w:val="center"/>
        <w:rPr>
          <w:rFonts w:ascii="宋体" w:hAnsi="宋体"/>
          <w:b/>
          <w:bCs/>
          <w:color w:val="auto"/>
          <w:highlight w:val="none"/>
        </w:rPr>
      </w:pPr>
      <w:bookmarkStart w:id="142" w:name="_Toc340749260"/>
      <w:bookmarkStart w:id="143" w:name="_Hlk39917555"/>
      <w:bookmarkStart w:id="144" w:name="_Toc86124081"/>
      <w:bookmarkStart w:id="145" w:name="_Toc383175507"/>
      <w:r>
        <w:rPr>
          <w:rFonts w:hint="eastAsia" w:ascii="宋体" w:hAnsi="宋体"/>
          <w:b/>
          <w:bCs/>
          <w:color w:val="auto"/>
          <w:highlight w:val="none"/>
        </w:rPr>
        <w:t>（磋商文件内本章协议条款及格式仅作为参考，本章节中未明确内容将在协议谈判中明确，采购人保留最终修订协议的权利，最终本协议以实际签订为准）</w:t>
      </w:r>
    </w:p>
    <w:p>
      <w:pPr>
        <w:adjustRightInd w:val="0"/>
        <w:spacing w:line="360" w:lineRule="auto"/>
        <w:jc w:val="center"/>
        <w:textAlignment w:val="baseline"/>
        <w:rPr>
          <w:rFonts w:ascii="宋体" w:hAnsi="宋体" w:cs="方正小标宋简体"/>
          <w:bCs/>
          <w:color w:val="auto"/>
          <w:sz w:val="52"/>
          <w:szCs w:val="52"/>
          <w:highlight w:val="none"/>
        </w:rPr>
      </w:pPr>
    </w:p>
    <w:p>
      <w:pPr>
        <w:adjustRightInd w:val="0"/>
        <w:spacing w:line="360" w:lineRule="auto"/>
        <w:jc w:val="center"/>
        <w:textAlignment w:val="baseline"/>
        <w:rPr>
          <w:rFonts w:ascii="宋体" w:hAnsi="宋体" w:cs="方正小标宋简体"/>
          <w:bCs/>
          <w:color w:val="auto"/>
          <w:sz w:val="52"/>
          <w:szCs w:val="52"/>
          <w:highlight w:val="none"/>
        </w:rPr>
      </w:pPr>
    </w:p>
    <w:p>
      <w:pPr>
        <w:adjustRightInd w:val="0"/>
        <w:spacing w:line="360" w:lineRule="auto"/>
        <w:jc w:val="center"/>
        <w:textAlignment w:val="baseline"/>
        <w:rPr>
          <w:rFonts w:ascii="宋体" w:hAnsi="宋体" w:cs="方正小标宋简体"/>
          <w:bCs/>
          <w:color w:val="auto"/>
          <w:sz w:val="52"/>
          <w:szCs w:val="52"/>
          <w:highlight w:val="none"/>
        </w:rPr>
      </w:pPr>
    </w:p>
    <w:p>
      <w:pPr>
        <w:adjustRightInd w:val="0"/>
        <w:spacing w:line="360" w:lineRule="auto"/>
        <w:jc w:val="center"/>
        <w:textAlignment w:val="baseline"/>
        <w:rPr>
          <w:rFonts w:ascii="宋体" w:hAnsi="宋体" w:cs="方正小标宋简体"/>
          <w:bCs/>
          <w:color w:val="auto"/>
          <w:sz w:val="52"/>
          <w:szCs w:val="52"/>
          <w:highlight w:val="none"/>
        </w:rPr>
      </w:pPr>
    </w:p>
    <w:p>
      <w:pPr>
        <w:tabs>
          <w:tab w:val="left" w:pos="7602"/>
        </w:tabs>
        <w:adjustRightInd w:val="0"/>
        <w:spacing w:line="360" w:lineRule="auto"/>
        <w:jc w:val="left"/>
        <w:textAlignment w:val="baseline"/>
        <w:rPr>
          <w:rFonts w:ascii="宋体" w:hAnsi="宋体" w:cs="方正小标宋简体"/>
          <w:bCs/>
          <w:color w:val="auto"/>
          <w:sz w:val="52"/>
          <w:szCs w:val="52"/>
          <w:highlight w:val="none"/>
        </w:rPr>
      </w:pPr>
      <w:r>
        <w:rPr>
          <w:rFonts w:ascii="宋体" w:hAnsi="宋体" w:cs="方正小标宋简体"/>
          <w:bCs/>
          <w:color w:val="auto"/>
          <w:sz w:val="52"/>
          <w:szCs w:val="52"/>
          <w:highlight w:val="none"/>
        </w:rPr>
        <w:tab/>
      </w:r>
    </w:p>
    <w:p>
      <w:pPr>
        <w:adjustRightInd w:val="0"/>
        <w:spacing w:line="360" w:lineRule="auto"/>
        <w:jc w:val="center"/>
        <w:textAlignment w:val="baseline"/>
        <w:rPr>
          <w:rFonts w:ascii="宋体" w:hAnsi="宋体" w:cs="方正小标宋简体"/>
          <w:bCs/>
          <w:color w:val="auto"/>
          <w:sz w:val="52"/>
          <w:szCs w:val="52"/>
          <w:highlight w:val="none"/>
        </w:rPr>
      </w:pPr>
      <w:r>
        <w:rPr>
          <w:rFonts w:hint="eastAsia" w:ascii="宋体" w:hAnsi="宋体" w:cs="方正小标宋简体"/>
          <w:bCs/>
          <w:color w:val="auto"/>
          <w:sz w:val="52"/>
          <w:szCs w:val="52"/>
          <w:highlight w:val="none"/>
        </w:rPr>
        <w:t>物业服务协议</w:t>
      </w:r>
    </w:p>
    <w:p>
      <w:pPr>
        <w:adjustRightInd w:val="0"/>
        <w:spacing w:line="360" w:lineRule="auto"/>
        <w:jc w:val="center"/>
        <w:textAlignment w:val="baseline"/>
        <w:rPr>
          <w:rFonts w:ascii="宋体" w:hAnsi="宋体"/>
          <w:b/>
          <w:color w:val="auto"/>
          <w:sz w:val="32"/>
          <w:szCs w:val="32"/>
          <w:highlight w:val="none"/>
        </w:rPr>
      </w:pPr>
    </w:p>
    <w:p>
      <w:pPr>
        <w:adjustRightInd w:val="0"/>
        <w:spacing w:line="360" w:lineRule="auto"/>
        <w:jc w:val="center"/>
        <w:textAlignment w:val="baseline"/>
        <w:rPr>
          <w:rFonts w:ascii="宋体" w:hAnsi="宋体"/>
          <w:b/>
          <w:color w:val="auto"/>
          <w:sz w:val="32"/>
          <w:szCs w:val="32"/>
          <w:highlight w:val="none"/>
        </w:rPr>
      </w:pPr>
    </w:p>
    <w:p>
      <w:pPr>
        <w:adjustRightInd w:val="0"/>
        <w:spacing w:line="360" w:lineRule="auto"/>
        <w:jc w:val="center"/>
        <w:textAlignment w:val="baseline"/>
        <w:rPr>
          <w:rFonts w:ascii="宋体" w:hAnsi="宋体"/>
          <w:b/>
          <w:color w:val="auto"/>
          <w:sz w:val="32"/>
          <w:szCs w:val="32"/>
          <w:highlight w:val="none"/>
        </w:rPr>
      </w:pPr>
    </w:p>
    <w:p>
      <w:pPr>
        <w:adjustRightInd w:val="0"/>
        <w:spacing w:line="360" w:lineRule="auto"/>
        <w:jc w:val="center"/>
        <w:textAlignment w:val="baseline"/>
        <w:rPr>
          <w:rFonts w:ascii="宋体" w:hAnsi="宋体"/>
          <w:b/>
          <w:color w:val="auto"/>
          <w:sz w:val="32"/>
          <w:szCs w:val="32"/>
          <w:highlight w:val="none"/>
        </w:rPr>
      </w:pPr>
    </w:p>
    <w:p>
      <w:pPr>
        <w:adjustRightInd w:val="0"/>
        <w:spacing w:line="360" w:lineRule="auto"/>
        <w:jc w:val="center"/>
        <w:textAlignment w:val="baseline"/>
        <w:rPr>
          <w:rFonts w:ascii="宋体" w:hAnsi="宋体"/>
          <w:b/>
          <w:color w:val="auto"/>
          <w:sz w:val="32"/>
          <w:szCs w:val="32"/>
          <w:highlight w:val="none"/>
        </w:rPr>
      </w:pPr>
    </w:p>
    <w:p>
      <w:pPr>
        <w:adjustRightInd w:val="0"/>
        <w:spacing w:line="360" w:lineRule="auto"/>
        <w:jc w:val="center"/>
        <w:textAlignment w:val="baseline"/>
        <w:rPr>
          <w:rFonts w:ascii="宋体" w:hAnsi="宋体"/>
          <w:b/>
          <w:color w:val="auto"/>
          <w:sz w:val="32"/>
          <w:szCs w:val="32"/>
          <w:highlight w:val="none"/>
        </w:rPr>
      </w:pPr>
    </w:p>
    <w:p>
      <w:pPr>
        <w:adjustRightInd w:val="0"/>
        <w:spacing w:line="360" w:lineRule="auto"/>
        <w:jc w:val="center"/>
        <w:textAlignment w:val="baseline"/>
        <w:rPr>
          <w:rFonts w:hint="eastAsia" w:ascii="宋体" w:hAnsi="宋体" w:cs="方正小标宋简体"/>
          <w:color w:val="auto"/>
          <w:sz w:val="28"/>
          <w:szCs w:val="28"/>
          <w:highlight w:val="none"/>
        </w:rPr>
      </w:pPr>
    </w:p>
    <w:p>
      <w:pPr>
        <w:adjustRightInd w:val="0"/>
        <w:spacing w:line="360" w:lineRule="auto"/>
        <w:jc w:val="center"/>
        <w:textAlignment w:val="baseline"/>
        <w:rPr>
          <w:rFonts w:hint="eastAsia" w:ascii="宋体" w:hAnsi="宋体" w:cs="方正小标宋简体"/>
          <w:color w:val="auto"/>
          <w:sz w:val="28"/>
          <w:szCs w:val="28"/>
          <w:highlight w:val="none"/>
        </w:rPr>
      </w:pPr>
    </w:p>
    <w:p>
      <w:pPr>
        <w:adjustRightInd w:val="0"/>
        <w:spacing w:line="360" w:lineRule="auto"/>
        <w:jc w:val="center"/>
        <w:textAlignment w:val="baseline"/>
        <w:rPr>
          <w:rFonts w:hint="eastAsia" w:ascii="宋体" w:hAnsi="宋体" w:cs="方正小标宋简体"/>
          <w:color w:val="auto"/>
          <w:sz w:val="28"/>
          <w:szCs w:val="28"/>
          <w:highlight w:val="none"/>
        </w:rPr>
      </w:pPr>
    </w:p>
    <w:p>
      <w:pPr>
        <w:adjustRightInd w:val="0"/>
        <w:spacing w:line="360" w:lineRule="auto"/>
        <w:jc w:val="center"/>
        <w:textAlignment w:val="baseline"/>
        <w:rPr>
          <w:rFonts w:ascii="宋体" w:hAnsi="宋体" w:cs="方正小标宋简体"/>
          <w:color w:val="auto"/>
          <w:sz w:val="28"/>
          <w:szCs w:val="28"/>
          <w:highlight w:val="none"/>
        </w:rPr>
      </w:pPr>
    </w:p>
    <w:p>
      <w:pPr>
        <w:adjustRightInd w:val="0"/>
        <w:spacing w:line="360" w:lineRule="auto"/>
        <w:textAlignment w:val="baseline"/>
        <w:rPr>
          <w:rFonts w:ascii="宋体" w:hAnsi="宋体"/>
          <w:bCs/>
          <w:color w:val="auto"/>
          <w:szCs w:val="21"/>
          <w:highlight w:val="none"/>
        </w:rPr>
      </w:pPr>
    </w:p>
    <w:p>
      <w:pPr>
        <w:widowControl/>
        <w:jc w:val="left"/>
        <w:rPr>
          <w:rFonts w:ascii="宋体" w:hAnsi="宋体"/>
          <w:bCs/>
          <w:color w:val="auto"/>
          <w:szCs w:val="21"/>
          <w:highlight w:val="none"/>
        </w:rPr>
      </w:pPr>
      <w:r>
        <w:rPr>
          <w:rFonts w:ascii="宋体" w:hAnsi="宋体"/>
          <w:bCs/>
          <w:color w:val="auto"/>
          <w:szCs w:val="21"/>
          <w:highlight w:val="none"/>
        </w:rPr>
        <w:br w:type="page"/>
      </w:r>
    </w:p>
    <w:p>
      <w:pPr>
        <w:adjustRightInd w:val="0"/>
        <w:spacing w:line="360" w:lineRule="auto"/>
        <w:ind w:firstLine="420" w:firstLineChars="200"/>
        <w:textAlignment w:val="baseline"/>
        <w:rPr>
          <w:rFonts w:ascii="宋体" w:hAnsi="宋体" w:cs="方正仿宋简体"/>
          <w:bCs/>
          <w:color w:val="auto"/>
          <w:szCs w:val="21"/>
          <w:highlight w:val="none"/>
        </w:rPr>
      </w:pPr>
      <w:r>
        <w:rPr>
          <w:rFonts w:ascii="宋体" w:hAnsi="宋体"/>
          <w:bCs/>
          <w:color w:val="auto"/>
          <w:szCs w:val="21"/>
          <w:highlight w:val="none"/>
        </w:rPr>
        <w:t>甲方</w:t>
      </w:r>
      <w:r>
        <w:rPr>
          <w:rFonts w:hint="eastAsia" w:ascii="宋体" w:hAnsi="宋体"/>
          <w:bCs/>
          <w:color w:val="auto"/>
          <w:szCs w:val="21"/>
          <w:highlight w:val="none"/>
        </w:rPr>
        <w:t>：云南省国有金融资本控股集团有限公司</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法定代表人：</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地    址：</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联系电话：</w:t>
      </w:r>
    </w:p>
    <w:p>
      <w:pPr>
        <w:adjustRightInd w:val="0"/>
        <w:spacing w:line="360" w:lineRule="auto"/>
        <w:ind w:firstLine="420" w:firstLineChars="200"/>
        <w:textAlignment w:val="baseline"/>
        <w:rPr>
          <w:rFonts w:hint="eastAsia" w:ascii="宋体" w:hAnsi="宋体"/>
          <w:bCs/>
          <w:color w:val="auto"/>
          <w:szCs w:val="21"/>
          <w:highlight w:val="none"/>
        </w:rPr>
      </w:pPr>
    </w:p>
    <w:p>
      <w:pPr>
        <w:adjustRightInd w:val="0"/>
        <w:spacing w:line="360" w:lineRule="auto"/>
        <w:ind w:firstLine="420" w:firstLineChars="200"/>
        <w:textAlignment w:val="baseline"/>
        <w:rPr>
          <w:rFonts w:hint="eastAsia" w:ascii="宋体" w:hAnsi="宋体"/>
          <w:bCs/>
          <w:color w:val="auto"/>
          <w:szCs w:val="21"/>
          <w:highlight w:val="none"/>
        </w:rPr>
      </w:pPr>
    </w:p>
    <w:p>
      <w:pPr>
        <w:adjustRightInd w:val="0"/>
        <w:spacing w:line="360" w:lineRule="auto"/>
        <w:ind w:firstLine="420" w:firstLineChars="200"/>
        <w:textAlignment w:val="baseline"/>
        <w:rPr>
          <w:rFonts w:hint="eastAsia" w:ascii="宋体" w:hAnsi="宋体"/>
          <w:bCs/>
          <w:color w:val="auto"/>
          <w:szCs w:val="21"/>
          <w:highlight w:val="none"/>
        </w:rPr>
      </w:pPr>
    </w:p>
    <w:p>
      <w:pPr>
        <w:adjustRightInd w:val="0"/>
        <w:spacing w:line="360" w:lineRule="auto"/>
        <w:ind w:firstLine="420" w:firstLineChars="200"/>
        <w:textAlignment w:val="baseline"/>
        <w:rPr>
          <w:rFonts w:ascii="宋体" w:hAnsi="宋体"/>
          <w:bCs/>
          <w:color w:val="auto"/>
          <w:szCs w:val="21"/>
          <w:highlight w:val="none"/>
        </w:rPr>
      </w:pP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乙方:</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法定代表人：</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地    址：</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联系电话：</w:t>
      </w:r>
    </w:p>
    <w:p>
      <w:pPr>
        <w:widowControl/>
        <w:jc w:val="left"/>
        <w:rPr>
          <w:rFonts w:ascii="宋体" w:hAnsi="宋体"/>
          <w:bCs/>
          <w:color w:val="auto"/>
          <w:szCs w:val="21"/>
          <w:highlight w:val="none"/>
        </w:rPr>
      </w:pPr>
      <w:r>
        <w:rPr>
          <w:rFonts w:ascii="宋体" w:hAnsi="宋体"/>
          <w:bCs/>
          <w:color w:val="auto"/>
          <w:szCs w:val="21"/>
          <w:highlight w:val="none"/>
        </w:rPr>
        <w:br w:type="page"/>
      </w:r>
    </w:p>
    <w:p>
      <w:pPr>
        <w:adjustRightInd w:val="0"/>
        <w:spacing w:line="360" w:lineRule="auto"/>
        <w:ind w:right="-39" w:rightChars="-19" w:firstLine="420" w:firstLineChars="200"/>
        <w:textAlignment w:val="baseline"/>
        <w:rPr>
          <w:rFonts w:ascii="宋体" w:hAnsi="宋体"/>
          <w:bCs/>
          <w:color w:val="auto"/>
          <w:szCs w:val="21"/>
          <w:highlight w:val="none"/>
        </w:rPr>
      </w:pPr>
      <w:r>
        <w:rPr>
          <w:rFonts w:ascii="宋体" w:hAnsi="宋体"/>
          <w:bCs/>
          <w:color w:val="auto"/>
          <w:szCs w:val="21"/>
          <w:highlight w:val="none"/>
        </w:rPr>
        <w:t>根据《中华人民共和国合同法》</w:t>
      </w:r>
      <w:r>
        <w:rPr>
          <w:rFonts w:hint="eastAsia" w:ascii="宋体" w:hAnsi="宋体" w:cs="方正仿宋简体"/>
          <w:bCs/>
          <w:color w:val="auto"/>
          <w:szCs w:val="21"/>
          <w:highlight w:val="none"/>
        </w:rPr>
        <w:t>《物业管理条例》等</w:t>
      </w:r>
      <w:r>
        <w:rPr>
          <w:rFonts w:ascii="宋体" w:hAnsi="宋体"/>
          <w:bCs/>
          <w:color w:val="auto"/>
          <w:szCs w:val="21"/>
          <w:highlight w:val="none"/>
        </w:rPr>
        <w:t>有关法律、法规的规定，在自愿、平等、协商一致的基础上，就甲方委托乙方实施</w:t>
      </w:r>
      <w:r>
        <w:rPr>
          <w:rFonts w:hint="eastAsia" w:ascii="宋体" w:hAnsi="宋体"/>
          <w:bCs/>
          <w:color w:val="auto"/>
          <w:szCs w:val="21"/>
          <w:highlight w:val="none"/>
        </w:rPr>
        <w:t>云南省国有金融资本控股集团有限公司</w:t>
      </w:r>
      <w:r>
        <w:rPr>
          <w:rFonts w:ascii="宋体" w:hAnsi="宋体"/>
          <w:bCs/>
          <w:color w:val="auto"/>
          <w:szCs w:val="21"/>
          <w:highlight w:val="none"/>
        </w:rPr>
        <w:t>的物业管理服务相关事宜，订立本协议。</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第一章　服务范围</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第一条项目基本情况</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云南省国有金融资本控股集团有限公司座落在云南省昆明市西山区云投财富商业广场B1栋（</w:t>
      </w:r>
      <w:r>
        <w:rPr>
          <w:rFonts w:hint="eastAsia" w:ascii="宋体" w:hAnsi="宋体"/>
          <w:bCs/>
          <w:color w:val="auto"/>
          <w:szCs w:val="21"/>
          <w:highlight w:val="none"/>
          <w:lang w:val="en-US" w:eastAsia="zh-CN"/>
        </w:rPr>
        <w:t>20</w:t>
      </w:r>
      <w:r>
        <w:rPr>
          <w:rFonts w:hint="eastAsia" w:ascii="宋体" w:hAnsi="宋体"/>
          <w:bCs/>
          <w:color w:val="auto"/>
          <w:szCs w:val="21"/>
          <w:highlight w:val="none"/>
        </w:rPr>
        <w:t>-22层），建筑面积面积</w:t>
      </w:r>
      <w:r>
        <w:rPr>
          <w:rFonts w:hint="eastAsia" w:ascii="宋体" w:hAnsi="宋体"/>
          <w:bCs/>
          <w:color w:val="auto"/>
          <w:szCs w:val="21"/>
          <w:highlight w:val="none"/>
          <w:lang w:val="en-US" w:eastAsia="zh-CN"/>
        </w:rPr>
        <w:t>5304.</w:t>
      </w:r>
      <w:r>
        <w:rPr>
          <w:rFonts w:hint="eastAsia" w:ascii="宋体" w:hAnsi="宋体"/>
          <w:bCs/>
          <w:color w:val="auto"/>
          <w:szCs w:val="21"/>
          <w:highlight w:val="none"/>
        </w:rPr>
        <w:t>96平方米；套内面积面积约</w:t>
      </w:r>
      <w:r>
        <w:rPr>
          <w:rFonts w:hint="eastAsia" w:ascii="宋体" w:hAnsi="宋体"/>
          <w:bCs/>
          <w:color w:val="auto"/>
          <w:szCs w:val="21"/>
          <w:highlight w:val="none"/>
          <w:lang w:val="en-US" w:eastAsia="zh-CN"/>
        </w:rPr>
        <w:t>3750</w:t>
      </w:r>
      <w:r>
        <w:rPr>
          <w:rFonts w:hint="eastAsia" w:ascii="宋体" w:hAnsi="宋体"/>
          <w:bCs/>
          <w:color w:val="auto"/>
          <w:szCs w:val="21"/>
          <w:highlight w:val="none"/>
        </w:rPr>
        <w:t>平方米。为营造优质办公环境，树立良好企业形象，保证集团日常办公正常有序进行，需采购办公区域综合前台服务；为保证集团各项会议正常有序开展，确保各项工作高效运转，需采购会务礼仪服务；为维护整个办公楼整洁的卫生环境，保证绿化日常管养工作，展现企业优美环境和良好形象，需采购环境维护服务；为杜绝集团办公楼的治安、消防事件的发生，创造一个安全有序的办公环境，需采购秩序维护服务；为保障集团办公楼供电、供水、电梯、消防、排污等设施设备的正常运行，同时保持集团物业的可持续性，需采购设施设备维护服务。</w:t>
      </w:r>
    </w:p>
    <w:p>
      <w:pPr>
        <w:snapToGrid w:val="0"/>
        <w:spacing w:line="360" w:lineRule="auto"/>
        <w:ind w:firstLine="420" w:firstLineChars="200"/>
        <w:rPr>
          <w:rFonts w:ascii="宋体" w:hAnsi="宋体"/>
          <w:bCs/>
          <w:color w:val="auto"/>
          <w:szCs w:val="21"/>
          <w:highlight w:val="none"/>
        </w:rPr>
      </w:pP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第二章　物业服务事项</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第二条 甲方委托乙方提供的物业服务的主要内容为：</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lang w:val="en-US" w:eastAsia="zh-CN"/>
        </w:rPr>
        <w:t>为保障</w:t>
      </w:r>
      <w:r>
        <w:rPr>
          <w:rFonts w:hint="eastAsia" w:ascii="宋体" w:hAnsi="宋体"/>
          <w:bCs/>
          <w:color w:val="auto"/>
          <w:szCs w:val="21"/>
          <w:highlight w:val="none"/>
        </w:rPr>
        <w:t>云南省国有金融资本控股集团有限公司</w:t>
      </w:r>
      <w:r>
        <w:rPr>
          <w:rFonts w:hint="eastAsia" w:ascii="宋体" w:hAnsi="宋体"/>
          <w:bCs/>
          <w:color w:val="auto"/>
          <w:szCs w:val="21"/>
          <w:highlight w:val="none"/>
          <w:lang w:val="en-US" w:eastAsia="zh-CN"/>
        </w:rPr>
        <w:t>日常经营活动的</w:t>
      </w:r>
      <w:r>
        <w:rPr>
          <w:rFonts w:hint="eastAsia" w:ascii="宋体" w:hAnsi="宋体" w:cs="方正仿宋简体"/>
          <w:bCs/>
          <w:color w:val="auto"/>
          <w:szCs w:val="21"/>
          <w:highlight w:val="none"/>
        </w:rPr>
        <w:t>安全稳定运营</w:t>
      </w:r>
      <w:r>
        <w:rPr>
          <w:rFonts w:hint="eastAsia" w:ascii="宋体" w:hAnsi="宋体" w:cs="方正仿宋简体"/>
          <w:bCs/>
          <w:color w:val="auto"/>
          <w:szCs w:val="21"/>
          <w:highlight w:val="none"/>
          <w:lang w:eastAsia="zh-CN"/>
        </w:rPr>
        <w:t>，</w:t>
      </w:r>
      <w:r>
        <w:rPr>
          <w:rFonts w:hint="eastAsia" w:ascii="宋体" w:hAnsi="宋体" w:cs="方正仿宋简体"/>
          <w:bCs/>
          <w:color w:val="auto"/>
          <w:szCs w:val="21"/>
          <w:highlight w:val="none"/>
          <w:lang w:val="en-US" w:eastAsia="zh-CN"/>
        </w:rPr>
        <w:t>乙方为甲方提供的物业服务</w:t>
      </w:r>
      <w:r>
        <w:rPr>
          <w:rFonts w:hint="eastAsia" w:ascii="宋体" w:hAnsi="宋体" w:cs="方正仿宋简体"/>
          <w:bCs/>
          <w:color w:val="auto"/>
          <w:szCs w:val="21"/>
          <w:highlight w:val="none"/>
        </w:rPr>
        <w:t>主要</w:t>
      </w:r>
      <w:r>
        <w:rPr>
          <w:rFonts w:ascii="宋体" w:hAnsi="宋体"/>
          <w:bCs/>
          <w:color w:val="auto"/>
          <w:szCs w:val="21"/>
          <w:highlight w:val="none"/>
        </w:rPr>
        <w:t>内容</w:t>
      </w:r>
      <w:r>
        <w:rPr>
          <w:rFonts w:hint="eastAsia" w:ascii="宋体" w:hAnsi="宋体"/>
          <w:bCs/>
          <w:color w:val="auto"/>
          <w:szCs w:val="21"/>
          <w:highlight w:val="none"/>
          <w:lang w:val="en-US" w:eastAsia="zh-CN"/>
        </w:rPr>
        <w:t>与质量标准</w:t>
      </w:r>
      <w:r>
        <w:rPr>
          <w:rFonts w:ascii="宋体" w:hAnsi="宋体"/>
          <w:bCs/>
          <w:color w:val="auto"/>
          <w:szCs w:val="21"/>
          <w:highlight w:val="none"/>
        </w:rPr>
        <w:t>如下：</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一、设施设备维护服务内容及质量标准要求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（一）设备设施维护服务内容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1、做好办公楼公共部位的维护、保养，发现破损及时维修，确保办公楼的安全、美观。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2、保障办公楼内供电、供水、电梯、消防、安防、排污、排水、停车等各种设施设备正常运行、建立建全房屋使用和维修档案。</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3、配合做好装修期间现场管理及安全监督，熟悉并了解各类系统、设施设备安装过程根据后期物业服务需求，对装修设计提出合理化建议并做好相关记录;</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4、配合完成装修后期竣工验收工作及竣工资料移交、存档工作。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（二）设备设施维护</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1、对公共水电设施设备，要定期巡查，发现损坏，及时维修。</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2、公共设施设备每日巡查，每周对运行情况进行总体检查一次。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3、配电室设备每天检查一次。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4、二次供水、消防泵房每周检查一次。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5、电梯机房，每月保养一次(半年保养和一年保养按规定进行)。</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6、及时更换和修复损坏的灯泡、灯具、开关等电器设备，保证各种电气设施和元件的完好。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7、对破损和老化设施发现问题及时进行更换和修补，定期擦拭灰尘、污渍和刷防腐漆等。</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（三）维修率</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对设施、设备进行日常管理和维修养护，使用完好率达90%以上，急修及时率达90%。建筑物内、外的照明灯具完好率不低于90%，损坏应及时进行修复。</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二、环境维护服务内容及质量标准要求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（一）保洁服务范围及内容：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1、办公室、会议室、接待室、公共通道、卫生间、门窗、灯具、办公家具、楼梯扶手、指示牌及附属设施的日常卫生清洁。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2、垃圾定点收集、清理，垃圾桶定期清洁消毒处理。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3、对环卫设施、公共卫生间等易孳生病菌传染源区域定期开展消毒杀菌及灭“四害”工作。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4、负责卫生间清洁用品（如卷纸、洗手液）等的及时补充。</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（二）保洁服务标准：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清洁、保洁实行责任制，有专职保洁人员和明确的责任范围，实行标准化作业。</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1、各区域清洁要求: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大厅、楼内、公共通道地面干净、无污渍，有光泽，保持地面材质原貌；门框、窗框、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（2）办公室、会议室、接待室地面、墙面、干净，无灰尘、污渍；天花板、风口目视无灰尘、污渍；桌椅干净，物品摆放整齐、有序。</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（3）楼梯及楼梯间梯步表面干净无污渍，防滑条(缝)干净，扶手栏杆表面干净无灰尘，防火门及闭门器表面干净无污渍，墙面、天花板无积尘、蛛网。</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公共卫生间地面干净，无污渍、无积水、无异味，大小便器表面干净，无污渍，有光泽；各种隔断表面干净，无乱写乱画，金属饰件表面干净，无污迹，有金属光泽；墙壁表面干净，天花板无污渍、蛛网；风口或换气扇表面干净无积尘；门窗表面干净，窗台无灰尘；玻璃干净无水渍。</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（5）洗手台干净无积水，面盆无污垢；各种管道表面干净无污渍；各种物品摆放整齐规范；废纸篓杂物超过2/3应及时倾倒，卫生间内空气流通并且无明显异味。</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（6）顶部各种管网、灯具表面干净无积尘、蛛网；墙面干净无积尘，各种指示牌表面干净有光泽；消防器材表面干净，摆放整齐；</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7）电梯及电梯厅电梯轿厢四壁光洁明亮，操作面板无污迹、无灰尘、无印迹，地面干净，空气清新、无异味；电梯凹槽内无垃圾无杂物，按钮表面干净无印迹；扶手表面干净无灰尘、污渍，玻璃表面干净透光性好，不锈钢光亮无尘；梳齿板内无杂物污渍；厅内地面干净有光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（8）电器设施灯泡、灯管、灯无积尘、无污迹。装饰件无积尘、无污迹；关、插座、配电箱无积尘、无明显污迹。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（9）垃圾桶及果皮箱桶、箱按指定位置摆放，桶身表面干净无污渍、无痰迹，烟灰缸内烟头不应超过3个，垃圾不应超过2/3 ，内胆应定期清洁、消毒。</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10）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（11）垃圾清运。垃圾应及时清运，袋装垃圾摆放整齐，垃圾放置区域地面无明显垃圾，无污水外溢，无明显异味。</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（12）设备机房、管道、指示牌无卫生死角、无垃圾堆积，无积尘、目视无蜘蛛网、无明显污渍、无水渍；指示牌、广告牌无灰尘、无污迹，金属件表面光亮，无痕迹。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（13）环境消杀管理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消杀工作应在尽量不影响业主工作的前提下进行，如上班前、下班后或者利用节假日等；消杀使用的药剂应是有关部门发放或者是使用低毒高效的药剂，在消杀过程中注意做好个人防护。</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（14）保洁工作中的应急处理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办公楼如出现自来水爆管、化粪池外溢、公共性疫情等情况，应启动相应的应急预案，全力配合有关部门，保障业主人身安全，减少财产损失。</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2、保洁频次：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（1）办公室、会议室清洁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1）办公室、会议室地面清扫：每天打扫，接待完毕立即打扫；</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2）办公室、会议室墙面、开关、空调清扫：每个星期一次；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3）家具、办公桌椅清洁：每天清洁，每个星期一次大清洁；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4）垃圾收集：每天收集。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会客</w:t>
      </w:r>
      <w:r>
        <w:rPr>
          <w:rFonts w:hint="eastAsia" w:ascii="宋体" w:hAnsi="宋体" w:cs="宋体"/>
          <w:bCs/>
          <w:color w:val="auto"/>
          <w:szCs w:val="21"/>
          <w:highlight w:val="none"/>
        </w:rPr>
        <w:t>室清洁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1）地毯的清洁：接待完毕立即吸尘，平时每天吸尘，一星期一次大清洁；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2）墙面、开关、空调清扫：每天抹尘，一星期一次大清洁；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3）家具、办公桌椅清洁：每天抹尘，一星期一次大清洁；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4）垃圾桶清洁：接待完毕立即更换垃圾袋和抹尘。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（3）一楼大厅的清洁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1）大厅地面清洁：每天打扫，平时随时保洁；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2）大厅外地垫清洁：一个星期清洗一次；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3）休息区清洁：每天清洁，接待完毕立即清洗；</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4）墙面、开关清洁：开关每天抹尘，墙面一个星期做一次清洁；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5）消防栓柜、防火门、门窗框、指示牌、内墙面等公共设施清洁：每天抹尘；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6）垃圾桶清洁：每天抹尘，更换垃圾袋，一个星期大清洗一次。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（4）公共洗手间清洁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1）洗手间清洁：每天上下班各打扫一次，平时随时保洁，发现问题立即处理；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2）洗手台清洁：每天上下班各清洗一次，平时随时保洁；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（5）电梯清洁：每天清洁一次，平时随时保洁。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（6）镜面清洁：每天清洁。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（7）楼宇过道清洁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1）地面清洁：每天打扫，平时随时保洁；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2）墙面、开关清洁：每天抹尘，清扫墙面；</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3）消防栓柜、防火门、门窗框、指示牌、内墙面等公共设施清洁：每天抹尘；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4）垃圾桶清洁：每天抹尘更换垃圾袋，一个星期大清洗一次。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（8）楼道清洁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1）楼梯清洁：每天清洁，平时随时保洁；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2）扶手及栏杆清洁：每天清洁，平时随时保洁；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3）消防栓、管清洁：每天抹尘；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4）墙面、开关清洁：每天抹尘清扫；</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5）窗户玻璃清洁：每月清洁两次。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（9）停车场及道路清洁：每天打扫，每月冲洗一次。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（10）灯具的清洁：半个月清扫一次。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（11）露台(包括天台、平台、阳台)清洁：每周清扫一次地面，疏通地漏及水沟。</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（12）消杀：定期消杀，灭四害。</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三、秩序维护服务内容及质量标准要求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（一）秩序维护服务内容及质量标准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1、物业管理范围内实行24小时保安值班巡逻制度，对所有公共区域进行不间断监控，对外来人员进行来访登记。对安全重要部位及重点防护部分进行有效巡视及保护，充分发挥人防、技防相结合之安保措施。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高度危险品禁止进入物业红线范围内，日常工作中需使用的易燃、易爆品在物业内的存量不应超过一次工作的消耗量，且进出大楼有严格管理程序，进出时间、路线均有详细管理规定及记录，并有相应应急措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3、所有工作人员在工作期间均着统一制服及工牌，在管理及服务工作中做到礼貌、周到。</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4、安保人员值勤有明显标志，熟悉大楼情况，工作规范，作风严谨，有值班巡逻记录，各项安保措施落实。</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5、对进出的各类车辆及人员，应先敬礼再履行执勤程序，保持交通秩序畅通。</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6、停车场车辆停放有序，场地清洁卫生无污染、无破损，车辆管理制度完善。</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（二）消防配套管理服务内容及质量标准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1、消防系统标志明显，设备完好，消防设施使用方便，保证可随时启用。</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2、配备专职或兼职消防管理人员，定期对消防设施设备进行巡查，发现问题及时处理，组织计划消防培训及演练，确保所有人员的消防安全。</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3、消防通道畅通无阻，并有明显导向指示及足够照明。</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4、所有消防设施、设备、辅件必须符合相关消防规范。</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5、消防设备设施保证正常使用，定期进行检测，并有运行检查记录。</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四、会务礼仪服务内容及质量标准要求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（一）前台接待及会务保障服务内容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1、负责来访客户的接待工作，包括为客户让座、递上茶水，咨询客户来访意图，对客户来访进行登记、联系、引导。</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2、负责会议室会议期间的会前、会中、会后服务，其他非会议期间会议室的卫生、茶具、会议设备维护工作。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（二）会务保障服务标准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会议室提前30分钟做好相关准备工作，检查空调、灯光、音响、话简、显示屏、茶叶、烟灰缸、会标、会务用具、面巾纸、光碟、投影仪、会议用具摆放形式，并逐一对照落实；如有重大会议或特殊情况下，根据需求另增加安排人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2、会议室开始前10分钟，会务人员站在会议室门口微笑迎接与会人员到来，并致意问好。加完茶水以后，站在方便与会人员招呼的位置，满足与会人员提出的其他合理要求。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3、会议期间、会务人员必须密切关注会场动态，对与会人员意外的表现，主动礼貌上前询问有关情况，切身体会会场环境是否符合既定的要求，并针对出现的问题果断迅速处理，提高应变能力。</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4、会议结束，会务服务人员应立即打开会议室门，并微笑站立、恭送与会领导，会议结束以后，以口头或书面形式主动征询、会议组织单位或与会人员意见。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5、会后整理会场，清点用品数目，清洗消毒保存，对灯光、音响、桌椅、门窗、地面、空调、消防栓、灭火器等设备进行检查，发现问题及时上报维修，消除一切安全隐患。</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6、遵守对方单位规章制度、保密等有关规定、建立突发情况的应急处理机制。</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五、客户综合管理服务内容及质量标准要求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1、了解和组织落实客户的服务需求，最大可能的满足业主的需要，处理好客户的有效投诉，确保服务质量。</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2、协助业主制定并实施管理工作的工作目标、工作计划。</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3、接受业主的报修需求，进行事后回访，满意度调查等日常性工作。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4、接受业主监督，对业主提出的服务管理方面存在的问题2小内响应并及时整改达到业主要求。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六、人员及装备物资配置要求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为保证云南省国有金融资本控股集团有限公司办公区域服务工作的正常运行，供应商须保障其配备的服务团队人员在项目服务期间内的稳定性，不得随意更换、减少；供应商需在本地设有长期固定的项目服务团队，拟派项目服务团队人员不得少于本项目需求人员；供应商负责支付本项目服务人员的工资、福利、社保、服装费等相关费用，所支付工资标准不得低于昆明市一类地区最低工资标准，并按现行劳动相关法规为本项目服务人员购买社保统筹保险（五险）。供应商须对上述要求进行承诺以及提供必要的客观支撑材料。</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（1）人员配置</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物业负责人1名，会务服务人员</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名，环境维护人员</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名，秩序维护人员</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名人。</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）装备物资配置要求</w:t>
      </w:r>
    </w:p>
    <w:p>
      <w:pPr>
        <w:adjustRightInd w:val="0"/>
        <w:snapToGrid w:val="0"/>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保洁所需易耗品及保洁用具，会务耗材，安保所需耗材，服务人员服装（需统一着装），日常维护耗材及维修工具等均由供应商负责，在服务期内不再另行收取费用。</w:t>
      </w:r>
    </w:p>
    <w:p>
      <w:pPr>
        <w:adjustRightInd w:val="0"/>
        <w:snapToGrid w:val="0"/>
        <w:spacing w:line="360"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七、其他</w:t>
      </w:r>
    </w:p>
    <w:p>
      <w:pPr>
        <w:adjustRightInd w:val="0"/>
        <w:snapToGrid w:val="0"/>
        <w:spacing w:line="360" w:lineRule="auto"/>
        <w:ind w:firstLine="420" w:firstLineChars="200"/>
        <w:textAlignment w:val="baseline"/>
        <w:rPr>
          <w:rFonts w:ascii="宋体" w:hAnsi="宋体" w:cs="宋体"/>
          <w:color w:val="auto"/>
          <w:highlight w:val="none"/>
        </w:rPr>
      </w:pPr>
      <w:r>
        <w:rPr>
          <w:rFonts w:hint="eastAsia" w:ascii="宋体" w:hAnsi="宋体"/>
          <w:color w:val="auto"/>
          <w:kern w:val="0"/>
          <w:szCs w:val="21"/>
          <w:highlight w:val="none"/>
        </w:rPr>
        <w:t>甲方可根据自身所需，在不超出合同约定物业服务范围的10%及服务时间内，要求乙方进行增项服务，其增项时间、地点由甲方另行通知。其新增服务项目及费用由双方协商确定，签订补充协议，补充协议与本协议具有同等法律效力。</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八、双方协商约定的突击性、临时性任务。</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九、甲方不</w:t>
      </w:r>
      <w:r>
        <w:rPr>
          <w:rFonts w:hint="eastAsia" w:ascii="宋体" w:hAnsi="宋体"/>
          <w:bCs/>
          <w:color w:val="auto"/>
          <w:szCs w:val="21"/>
          <w:highlight w:val="none"/>
          <w:lang w:val="en-US" w:eastAsia="zh-CN"/>
        </w:rPr>
        <w:t>为乙方物业服务人员</w:t>
      </w:r>
      <w:r>
        <w:rPr>
          <w:rFonts w:hint="eastAsia" w:ascii="宋体" w:hAnsi="宋体"/>
          <w:bCs/>
          <w:color w:val="auto"/>
          <w:szCs w:val="21"/>
          <w:highlight w:val="none"/>
        </w:rPr>
        <w:t>提供宿舍，乙方</w:t>
      </w:r>
      <w:r>
        <w:rPr>
          <w:rFonts w:hint="eastAsia" w:ascii="宋体" w:hAnsi="宋体"/>
          <w:bCs/>
          <w:color w:val="auto"/>
          <w:szCs w:val="21"/>
          <w:highlight w:val="none"/>
          <w:lang w:val="en-US" w:eastAsia="zh-CN"/>
        </w:rPr>
        <w:t>为甲方提供物业服务人员的住宿事项由乙方</w:t>
      </w:r>
      <w:r>
        <w:rPr>
          <w:rFonts w:hint="eastAsia" w:ascii="宋体" w:hAnsi="宋体"/>
          <w:bCs/>
          <w:color w:val="auto"/>
          <w:szCs w:val="21"/>
          <w:highlight w:val="none"/>
        </w:rPr>
        <w:t>自行解决。</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第三章　物业服务质量</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第三条乙方提供的物业服务人员岗位素质要</w:t>
      </w:r>
      <w:r>
        <w:rPr>
          <w:rFonts w:hint="eastAsia" w:ascii="宋体" w:hAnsi="宋体"/>
          <w:bCs/>
          <w:color w:val="auto"/>
          <w:szCs w:val="21"/>
          <w:highlight w:val="none"/>
        </w:rPr>
        <w:t>求应符合甲方制定的质量标准</w:t>
      </w:r>
      <w:r>
        <w:rPr>
          <w:rFonts w:ascii="宋体" w:hAnsi="宋体"/>
          <w:bCs/>
          <w:color w:val="auto"/>
          <w:szCs w:val="21"/>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第四条 乙方提供物业服务质量标准需符合</w:t>
      </w:r>
      <w:r>
        <w:rPr>
          <w:rFonts w:hint="eastAsia" w:ascii="宋体" w:hAnsi="宋体" w:cs="宋体"/>
          <w:color w:val="auto"/>
          <w:szCs w:val="21"/>
          <w:highlight w:val="none"/>
        </w:rPr>
        <w:t>国家该行业相关标准和合同约定的相关要求。</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第四章　物业服务费用及服务期限</w:t>
      </w:r>
    </w:p>
    <w:p>
      <w:pPr>
        <w:adjustRightIn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第五条本协议物业服务费按</w:t>
      </w:r>
      <w:r>
        <w:rPr>
          <w:rFonts w:hint="eastAsia" w:ascii="宋体" w:hAnsi="宋体"/>
          <w:bCs/>
          <w:color w:val="auto"/>
          <w:szCs w:val="21"/>
          <w:highlight w:val="none"/>
        </w:rPr>
        <w:t>包干价执行，中标价作为本次签订合同价，不得任意改动。</w:t>
      </w:r>
    </w:p>
    <w:p>
      <w:pPr>
        <w:spacing w:line="360" w:lineRule="auto"/>
        <w:rPr>
          <w:rFonts w:ascii="宋体" w:hAnsi="宋体"/>
          <w:vanish/>
          <w:color w:val="auto"/>
          <w:highlight w:val="none"/>
        </w:rPr>
      </w:pPr>
    </w:p>
    <w:p>
      <w:pPr>
        <w:adjustRightInd w:val="0"/>
        <w:spacing w:line="360" w:lineRule="auto"/>
        <w:ind w:firstLine="315" w:firstLineChars="150"/>
        <w:textAlignment w:val="baseline"/>
        <w:rPr>
          <w:rFonts w:ascii="宋体" w:hAnsi="宋体"/>
          <w:bCs/>
          <w:color w:val="auto"/>
          <w:szCs w:val="21"/>
          <w:highlight w:val="none"/>
        </w:rPr>
      </w:pPr>
      <w:r>
        <w:rPr>
          <w:rFonts w:ascii="宋体" w:hAnsi="宋体"/>
          <w:bCs/>
          <w:color w:val="auto"/>
          <w:szCs w:val="21"/>
          <w:highlight w:val="none"/>
        </w:rPr>
        <w:t>酬金：</w:t>
      </w:r>
      <w:r>
        <w:rPr>
          <w:rFonts w:hint="eastAsia" w:ascii="宋体" w:hAnsi="宋体"/>
          <w:bCs/>
          <w:color w:val="auto"/>
          <w:szCs w:val="21"/>
          <w:highlight w:val="none"/>
        </w:rPr>
        <w:t>1.物业服务费结算方式：</w:t>
      </w:r>
    </w:p>
    <w:p>
      <w:pPr>
        <w:numPr>
          <w:ilvl w:val="0"/>
          <w:numId w:val="15"/>
        </w:numPr>
        <w:adjustRightInd w:val="0"/>
        <w:spacing w:line="360" w:lineRule="auto"/>
        <w:ind w:firstLine="420" w:firstLineChars="200"/>
        <w:textAlignment w:val="baseline"/>
        <w:rPr>
          <w:rFonts w:hint="eastAsia" w:ascii="宋体" w:hAnsi="宋体" w:cs="宋体"/>
          <w:color w:val="auto"/>
          <w:highlight w:val="none"/>
          <w:u w:val="single"/>
        </w:rPr>
      </w:pPr>
      <w:r>
        <w:rPr>
          <w:rFonts w:hint="eastAsia" w:ascii="宋体" w:hAnsi="宋体" w:cs="宋体"/>
          <w:color w:val="auto"/>
          <w:highlight w:val="none"/>
        </w:rPr>
        <w:t>付款方式：</w:t>
      </w:r>
      <w:r>
        <w:rPr>
          <w:rFonts w:hint="eastAsia" w:ascii="宋体" w:hAnsi="宋体" w:cs="宋体"/>
          <w:color w:val="auto"/>
          <w:highlight w:val="none"/>
          <w:u w:val="single"/>
        </w:rPr>
        <w:t xml:space="preserve"> 按季（每三个月作为一个季度）结算，</w:t>
      </w:r>
      <w:r>
        <w:rPr>
          <w:rFonts w:hint="eastAsia" w:ascii="宋体" w:hAnsi="宋体" w:cs="宋体"/>
          <w:color w:val="auto"/>
          <w:highlight w:val="none"/>
          <w:u w:val="single"/>
          <w:lang w:val="en-US" w:eastAsia="zh-CN"/>
        </w:rPr>
        <w:t>付款时间为上一季度结束后10个工作日内，在</w:t>
      </w:r>
      <w:r>
        <w:rPr>
          <w:rFonts w:hint="eastAsia" w:ascii="宋体" w:hAnsi="宋体" w:cs="宋体"/>
          <w:color w:val="auto"/>
          <w:highlight w:val="none"/>
          <w:u w:val="single"/>
        </w:rPr>
        <w:t>开具增值税专用发票后10个工作日内付款</w:t>
      </w:r>
      <w:r>
        <w:rPr>
          <w:rFonts w:hint="eastAsia" w:ascii="宋体" w:hAnsi="宋体" w:cs="宋体"/>
          <w:color w:val="auto"/>
          <w:highlight w:val="none"/>
        </w:rPr>
        <w:t>。</w:t>
      </w:r>
      <w:r>
        <w:rPr>
          <w:rFonts w:hint="eastAsia" w:ascii="宋体" w:hAnsi="宋体" w:cs="宋体"/>
          <w:color w:val="auto"/>
          <w:highlight w:val="none"/>
          <w:u w:val="single"/>
        </w:rPr>
        <w:t>乙方未提供发票时，甲方有权拒绝付款。</w:t>
      </w:r>
    </w:p>
    <w:p>
      <w:pPr>
        <w:numPr>
          <w:ilvl w:val="0"/>
          <w:numId w:val="15"/>
        </w:numPr>
        <w:adjustRightInd w:val="0"/>
        <w:spacing w:line="360" w:lineRule="auto"/>
        <w:ind w:firstLine="420" w:firstLineChars="200"/>
        <w:textAlignment w:val="baseline"/>
        <w:rPr>
          <w:rFonts w:hint="eastAsia" w:ascii="宋体" w:hAnsi="宋体" w:cs="宋体"/>
          <w:color w:val="auto"/>
          <w:highlight w:val="none"/>
          <w:u w:val="single"/>
        </w:rPr>
      </w:pPr>
      <w:r>
        <w:rPr>
          <w:rFonts w:hint="eastAsia" w:ascii="宋体" w:hAnsi="宋体" w:cs="宋体"/>
          <w:color w:val="auto"/>
          <w:highlight w:val="none"/>
          <w:u w:val="single"/>
        </w:rPr>
        <w:t>每季度甲方</w:t>
      </w:r>
      <w:r>
        <w:rPr>
          <w:rFonts w:hint="eastAsia" w:ascii="宋体" w:hAnsi="宋体" w:cs="宋体"/>
          <w:color w:val="auto"/>
          <w:highlight w:val="none"/>
          <w:u w:val="single"/>
          <w:lang w:val="en-US" w:eastAsia="zh-CN"/>
        </w:rPr>
        <w:t>按比例</w:t>
      </w:r>
      <w:r>
        <w:rPr>
          <w:rFonts w:hint="eastAsia" w:ascii="宋体" w:hAnsi="宋体" w:cs="宋体"/>
          <w:color w:val="auto"/>
          <w:highlight w:val="none"/>
          <w:u w:val="single"/>
        </w:rPr>
        <w:t>将款项支付给乙方，金额</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元（大写：</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p>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乙方账户信息：</w:t>
      </w:r>
    </w:p>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公司名称：</w:t>
      </w:r>
    </w:p>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地址：</w:t>
      </w:r>
    </w:p>
    <w:p>
      <w:pPr>
        <w:autoSpaceDE w:val="0"/>
        <w:autoSpaceDN w:val="0"/>
        <w:adjustRightInd w:val="0"/>
        <w:spacing w:line="360" w:lineRule="auto"/>
        <w:ind w:firstLine="420" w:firstLineChars="200"/>
        <w:rPr>
          <w:rFonts w:ascii="宋体" w:hAnsi="宋体" w:cs="华文细黑"/>
          <w:color w:val="auto"/>
          <w:highlight w:val="none"/>
        </w:rPr>
      </w:pPr>
      <w:r>
        <w:rPr>
          <w:rFonts w:hint="eastAsia" w:ascii="宋体" w:hAnsi="宋体" w:cs="华文细黑"/>
          <w:color w:val="auto"/>
          <w:highlight w:val="none"/>
        </w:rPr>
        <w:t>电话：</w:t>
      </w:r>
    </w:p>
    <w:p>
      <w:pPr>
        <w:autoSpaceDE w:val="0"/>
        <w:autoSpaceDN w:val="0"/>
        <w:adjustRightInd w:val="0"/>
        <w:spacing w:line="360" w:lineRule="auto"/>
        <w:ind w:firstLine="420" w:firstLineChars="200"/>
        <w:rPr>
          <w:rFonts w:ascii="宋体" w:hAnsi="宋体" w:cs="华文细黑"/>
          <w:color w:val="auto"/>
          <w:highlight w:val="none"/>
        </w:rPr>
      </w:pPr>
      <w:r>
        <w:rPr>
          <w:rFonts w:hint="eastAsia" w:ascii="宋体" w:hAnsi="宋体" w:cs="华文细黑"/>
          <w:color w:val="auto"/>
          <w:highlight w:val="none"/>
        </w:rPr>
        <w:t>纳税人识别号：</w:t>
      </w:r>
    </w:p>
    <w:p>
      <w:pPr>
        <w:autoSpaceDE w:val="0"/>
        <w:autoSpaceDN w:val="0"/>
        <w:adjustRightInd w:val="0"/>
        <w:spacing w:line="360" w:lineRule="auto"/>
        <w:ind w:firstLine="420" w:firstLineChars="200"/>
        <w:rPr>
          <w:rFonts w:ascii="宋体" w:hAnsi="宋体" w:cs="华文细黑"/>
          <w:color w:val="auto"/>
          <w:highlight w:val="none"/>
        </w:rPr>
      </w:pPr>
      <w:r>
        <w:rPr>
          <w:rFonts w:hint="eastAsia" w:ascii="宋体" w:hAnsi="宋体" w:cs="华文细黑"/>
          <w:color w:val="auto"/>
          <w:highlight w:val="none"/>
        </w:rPr>
        <w:t>开户行：</w:t>
      </w:r>
    </w:p>
    <w:p>
      <w:pPr>
        <w:adjustRightInd w:val="0"/>
        <w:snapToGrid w:val="0"/>
        <w:spacing w:line="360" w:lineRule="auto"/>
        <w:ind w:firstLine="420" w:firstLineChars="200"/>
        <w:textAlignment w:val="baseline"/>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.甲方付款的同时，乙方应提供根据服务内容开具增值税专用发票。</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.如果甲方向乙方提出增加本委托协议以外的服务项目，</w:t>
      </w:r>
      <w:r>
        <w:rPr>
          <w:rFonts w:hint="eastAsia" w:ascii="宋体" w:hAnsi="宋体"/>
          <w:color w:val="auto"/>
          <w:kern w:val="0"/>
          <w:szCs w:val="21"/>
          <w:highlight w:val="none"/>
        </w:rPr>
        <w:t>新增服务项目及费用由双方协商确定，并</w:t>
      </w:r>
      <w:r>
        <w:rPr>
          <w:rFonts w:hint="eastAsia" w:ascii="宋体" w:hAnsi="宋体" w:cs="宋体"/>
          <w:bCs/>
          <w:color w:val="auto"/>
          <w:highlight w:val="none"/>
        </w:rPr>
        <w:t>签订补充协议，补充协议与本协议具有同等法律效力</w:t>
      </w:r>
      <w:r>
        <w:rPr>
          <w:rFonts w:hint="eastAsia" w:ascii="宋体" w:hAnsi="宋体" w:cs="宋体"/>
          <w:color w:val="auto"/>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第六条  本协议期限自</w:t>
      </w:r>
      <w:r>
        <w:rPr>
          <w:rFonts w:hint="eastAsia" w:ascii="宋体" w:hAnsi="宋体"/>
          <w:bCs/>
          <w:color w:val="auto"/>
          <w:szCs w:val="21"/>
          <w:highlight w:val="none"/>
          <w:u w:val="single"/>
        </w:rPr>
        <w:t xml:space="preserve">    </w:t>
      </w:r>
      <w:r>
        <w:rPr>
          <w:rFonts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rPr>
        <w:t>日起至</w:t>
      </w:r>
      <w:r>
        <w:rPr>
          <w:rFonts w:hint="eastAsia" w:ascii="宋体" w:hAnsi="宋体"/>
          <w:bCs/>
          <w:color w:val="auto"/>
          <w:szCs w:val="21"/>
          <w:highlight w:val="none"/>
          <w:u w:val="single"/>
        </w:rPr>
        <w:t xml:space="preserve">   </w:t>
      </w:r>
      <w:r>
        <w:rPr>
          <w:rFonts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rPr>
        <w:t>日止。</w:t>
      </w:r>
    </w:p>
    <w:p>
      <w:pPr>
        <w:adjustRightInd w:val="0"/>
        <w:snapToGrid w:val="0"/>
        <w:spacing w:line="360" w:lineRule="auto"/>
        <w:ind w:firstLine="420" w:firstLineChars="200"/>
        <w:textAlignment w:val="baseline"/>
        <w:rPr>
          <w:rFonts w:ascii="宋体" w:hAnsi="宋体"/>
          <w:bCs/>
          <w:color w:val="auto"/>
          <w:szCs w:val="21"/>
          <w:highlight w:val="none"/>
        </w:rPr>
      </w:pP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第五章　双方的权利义务</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第七条　甲方的权利义务</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甲方享有以下权利：</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1、审定乙方提报</w:t>
      </w:r>
      <w:r>
        <w:rPr>
          <w:rFonts w:ascii="宋体" w:hAnsi="宋体"/>
          <w:bCs/>
          <w:color w:val="auto"/>
          <w:szCs w:val="21"/>
          <w:highlight w:val="none"/>
          <w:shd w:val="clear" w:color="auto" w:fill="FFFFFF"/>
        </w:rPr>
        <w:t>物业管理年度管理计划</w:t>
      </w:r>
      <w:r>
        <w:rPr>
          <w:rFonts w:ascii="宋体" w:hAnsi="宋体"/>
          <w:bCs/>
          <w:color w:val="auto"/>
          <w:szCs w:val="21"/>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2、监督检查乙方各项服务的实施效果，并按本协议约定实施绩效考核；</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3、定期听取乙方关于物业服务协议履行情况的报告；</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4、确定客户接待流程和相关接待服务要求；</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、监督乙方实施物业服务的其他行为；</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、依据法律、法规规定享有的其他权利；</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甲方根据实际所需的办公面积，来确定乙方是否应多配备人工、物资。</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甲方应履行的义务：</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1、按时向乙方支付物业服务费用；</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2、协助乙方开展物业服务工作，</w:t>
      </w:r>
      <w:r>
        <w:rPr>
          <w:rFonts w:hint="eastAsia" w:ascii="宋体" w:hAnsi="宋体"/>
          <w:bCs/>
          <w:color w:val="auto"/>
          <w:szCs w:val="21"/>
          <w:highlight w:val="none"/>
        </w:rPr>
        <w:t>甲方就乙方开展物业服务工作给予必要的协助及配合</w:t>
      </w:r>
      <w:r>
        <w:rPr>
          <w:rFonts w:ascii="宋体" w:hAnsi="宋体"/>
          <w:bCs/>
          <w:color w:val="auto"/>
          <w:szCs w:val="21"/>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3、提供超出本协议约定乙方服务内容所需的相关资源（服务耗材）；</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4、法律、法规规定的其他义务。</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第八条　乙方的权利义务</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乙方享有的权利：</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1、按照协议约定的内容和标准，提供专业化的服务；</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2、对物业服务人员岗位安排、日常培训、监督及考核；</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3、依照法律、法规规定和本协议约定享有的其他权利。</w:t>
      </w:r>
    </w:p>
    <w:p>
      <w:pPr>
        <w:adjustRightInd w:val="0"/>
        <w:snapToGrid w:val="0"/>
        <w:spacing w:line="360" w:lineRule="auto"/>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4.乙方征得甲方同意后，可选聘专业公司承担本物业的特殊专项管理业务，但不得将该物业的管理责任全部转让给第三方。</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5.依照法律、法规规定和本协议约定享有的其他权利。</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乙方应履行的义务：</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shd w:val="clear" w:color="auto" w:fill="FFFFFF"/>
        </w:rPr>
        <w:t>1、</w:t>
      </w:r>
      <w:r>
        <w:rPr>
          <w:rFonts w:ascii="宋体" w:hAnsi="宋体"/>
          <w:bCs/>
          <w:color w:val="auto"/>
          <w:szCs w:val="21"/>
          <w:highlight w:val="none"/>
          <w:shd w:val="clear" w:color="auto" w:fill="FFFFFF"/>
        </w:rPr>
        <w:t>负责编制</w:t>
      </w:r>
      <w:r>
        <w:rPr>
          <w:rFonts w:hint="eastAsia" w:ascii="宋体" w:hAnsi="宋体"/>
          <w:bCs/>
          <w:color w:val="auto"/>
          <w:szCs w:val="21"/>
          <w:highlight w:val="none"/>
          <w:shd w:val="clear" w:color="auto" w:fill="FFFFFF"/>
        </w:rPr>
        <w:t>办公区域卫生、</w:t>
      </w:r>
      <w:r>
        <w:rPr>
          <w:rFonts w:ascii="宋体" w:hAnsi="宋体"/>
          <w:bCs/>
          <w:color w:val="auto"/>
          <w:szCs w:val="21"/>
          <w:highlight w:val="none"/>
          <w:shd w:val="clear" w:color="auto" w:fill="FFFFFF"/>
        </w:rPr>
        <w:t>设施、设备等的年度维修、养护计划的方案，经双方议定后组织实施；</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shd w:val="clear" w:color="auto" w:fill="FFFFFF"/>
        </w:rPr>
        <w:t>2、</w:t>
      </w:r>
      <w:r>
        <w:rPr>
          <w:rFonts w:ascii="宋体" w:hAnsi="宋体"/>
          <w:bCs/>
          <w:color w:val="auto"/>
          <w:szCs w:val="21"/>
          <w:highlight w:val="none"/>
          <w:shd w:val="clear" w:color="auto" w:fill="FFFFFF"/>
        </w:rPr>
        <w:t>负责编制物业管理年度管理计划。</w:t>
      </w:r>
      <w:r>
        <w:rPr>
          <w:rFonts w:ascii="宋体" w:hAnsi="宋体"/>
          <w:bCs/>
          <w:color w:val="auto"/>
          <w:szCs w:val="21"/>
          <w:highlight w:val="none"/>
        </w:rPr>
        <w:t xml:space="preserve">按照协议约定的内容和标准，提供专业化的服务； </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乙方对物业员工的服务行为及服务质量结果负责；</w:t>
      </w:r>
    </w:p>
    <w:p>
      <w:pPr>
        <w:adjustRightInd w:val="0"/>
        <w:snapToGrid w:val="0"/>
        <w:spacing w:line="360" w:lineRule="auto"/>
        <w:ind w:firstLine="420" w:firstLineChars="200"/>
        <w:textAlignment w:val="baseline"/>
        <w:rPr>
          <w:rFonts w:hint="eastAsia" w:ascii="宋体" w:hAnsi="宋体" w:eastAsia="宋体"/>
          <w:bCs/>
          <w:color w:val="auto"/>
          <w:szCs w:val="21"/>
          <w:highlight w:val="none"/>
          <w:u w:val="single"/>
          <w:lang w:eastAsia="zh-CN"/>
        </w:rPr>
      </w:pPr>
      <w:r>
        <w:rPr>
          <w:rFonts w:hint="eastAsia" w:ascii="宋体" w:hAnsi="宋体"/>
          <w:bCs/>
          <w:color w:val="auto"/>
          <w:szCs w:val="21"/>
          <w:highlight w:val="none"/>
          <w:u w:val="single"/>
        </w:rPr>
        <w:t>4、</w:t>
      </w:r>
      <w:r>
        <w:rPr>
          <w:rFonts w:hint="eastAsia" w:ascii="宋体" w:hAnsi="宋体"/>
          <w:bCs/>
          <w:color w:val="auto"/>
          <w:szCs w:val="21"/>
          <w:highlight w:val="none"/>
          <w:u w:val="single"/>
          <w:lang w:val="en-US" w:eastAsia="zh-CN"/>
        </w:rPr>
        <w:t>乙方应加强</w:t>
      </w:r>
      <w:r>
        <w:rPr>
          <w:rFonts w:ascii="宋体" w:hAnsi="宋体"/>
          <w:bCs/>
          <w:color w:val="auto"/>
          <w:szCs w:val="21"/>
          <w:highlight w:val="none"/>
          <w:u w:val="single"/>
        </w:rPr>
        <w:t>对员工服务意识和服务技能的培训和教育</w:t>
      </w:r>
      <w:r>
        <w:rPr>
          <w:rFonts w:hint="eastAsia" w:ascii="宋体" w:hAnsi="宋体"/>
          <w:bCs/>
          <w:color w:val="auto"/>
          <w:szCs w:val="21"/>
          <w:highlight w:val="none"/>
          <w:u w:val="single"/>
          <w:lang w:eastAsia="zh-CN"/>
        </w:rPr>
        <w:t>；</w:t>
      </w:r>
    </w:p>
    <w:p>
      <w:pPr>
        <w:adjustRightInd w:val="0"/>
        <w:snapToGrid w:val="0"/>
        <w:spacing w:line="360" w:lineRule="auto"/>
        <w:ind w:firstLine="420" w:firstLineChars="200"/>
        <w:textAlignment w:val="baseline"/>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u w:val="single"/>
          <w:shd w:val="clear" w:color="auto" w:fill="FFFFFF"/>
          <w:lang w:val="en-US" w:eastAsia="zh-CN"/>
        </w:rPr>
        <w:t>5、</w:t>
      </w:r>
      <w:r>
        <w:rPr>
          <w:rFonts w:ascii="宋体" w:hAnsi="宋体"/>
          <w:bCs/>
          <w:color w:val="auto"/>
          <w:szCs w:val="21"/>
          <w:highlight w:val="none"/>
          <w:u w:val="single"/>
          <w:shd w:val="clear" w:color="auto" w:fill="FFFFFF"/>
        </w:rPr>
        <w:t>乙方</w:t>
      </w:r>
      <w:r>
        <w:rPr>
          <w:rFonts w:hint="eastAsia" w:ascii="宋体" w:hAnsi="宋体"/>
          <w:bCs/>
          <w:color w:val="auto"/>
          <w:szCs w:val="21"/>
          <w:highlight w:val="none"/>
          <w:u w:val="single"/>
          <w:shd w:val="clear" w:color="auto" w:fill="FFFFFF"/>
          <w:lang w:val="en-US" w:eastAsia="zh-CN"/>
        </w:rPr>
        <w:t>服务人员</w:t>
      </w:r>
      <w:r>
        <w:rPr>
          <w:rFonts w:ascii="宋体" w:hAnsi="宋体"/>
          <w:bCs/>
          <w:color w:val="auto"/>
          <w:szCs w:val="21"/>
          <w:highlight w:val="none"/>
          <w:u w:val="single"/>
          <w:shd w:val="clear" w:color="auto" w:fill="FFFFFF"/>
        </w:rPr>
        <w:t>在提供物业服务过程中，如果发生任何</w:t>
      </w:r>
      <w:r>
        <w:rPr>
          <w:rFonts w:hint="eastAsia" w:ascii="宋体" w:hAnsi="宋体"/>
          <w:bCs/>
          <w:color w:val="auto"/>
          <w:szCs w:val="21"/>
          <w:highlight w:val="none"/>
          <w:u w:val="single"/>
          <w:shd w:val="clear" w:color="auto" w:fill="FFFFFF"/>
          <w:lang w:val="en-US" w:eastAsia="zh-CN"/>
        </w:rPr>
        <w:t>造成服务人员自己</w:t>
      </w:r>
      <w:r>
        <w:rPr>
          <w:rFonts w:ascii="宋体" w:hAnsi="宋体"/>
          <w:bCs/>
          <w:color w:val="auto"/>
          <w:szCs w:val="21"/>
          <w:highlight w:val="none"/>
          <w:u w:val="single"/>
          <w:shd w:val="clear" w:color="auto" w:fill="FFFFFF"/>
        </w:rPr>
        <w:t>人身</w:t>
      </w:r>
      <w:r>
        <w:rPr>
          <w:rFonts w:hint="eastAsia" w:ascii="宋体" w:hAnsi="宋体"/>
          <w:bCs/>
          <w:color w:val="auto"/>
          <w:szCs w:val="21"/>
          <w:highlight w:val="none"/>
          <w:u w:val="single"/>
          <w:shd w:val="clear" w:color="auto" w:fill="FFFFFF"/>
          <w:lang w:val="en-US" w:eastAsia="zh-CN"/>
        </w:rPr>
        <w:t>伤害</w:t>
      </w:r>
      <w:r>
        <w:rPr>
          <w:rFonts w:ascii="宋体" w:hAnsi="宋体"/>
          <w:bCs/>
          <w:color w:val="auto"/>
          <w:szCs w:val="21"/>
          <w:highlight w:val="none"/>
          <w:u w:val="single"/>
          <w:shd w:val="clear" w:color="auto" w:fill="FFFFFF"/>
        </w:rPr>
        <w:t>事故及财产损失均由乙方自行负责处理，与甲方无关</w:t>
      </w:r>
      <w:r>
        <w:rPr>
          <w:rFonts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p>
    <w:p>
      <w:pPr>
        <w:adjustRightInd w:val="0"/>
        <w:snapToGrid w:val="0"/>
        <w:spacing w:line="360" w:lineRule="auto"/>
        <w:ind w:firstLine="420" w:firstLineChars="200"/>
        <w:textAlignment w:val="baseline"/>
        <w:rPr>
          <w:rFonts w:ascii="宋体" w:hAnsi="宋体" w:cs="宋体"/>
          <w:color w:val="auto"/>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、如有新增项目，乙方接受甲方提出的增加服务面积和人工配置要求，</w:t>
      </w:r>
      <w:r>
        <w:rPr>
          <w:rFonts w:hint="eastAsia" w:ascii="宋体" w:hAnsi="宋体"/>
          <w:color w:val="auto"/>
          <w:kern w:val="0"/>
          <w:szCs w:val="21"/>
          <w:highlight w:val="none"/>
        </w:rPr>
        <w:t>新增服务项目及费用由双方协商确定，并</w:t>
      </w:r>
      <w:r>
        <w:rPr>
          <w:rFonts w:hint="eastAsia" w:ascii="宋体" w:hAnsi="宋体" w:cs="宋体"/>
          <w:bCs/>
          <w:color w:val="auto"/>
          <w:highlight w:val="none"/>
        </w:rPr>
        <w:t>签订补充协议，补充协议与本协议具有同等法律效力</w:t>
      </w:r>
      <w:r>
        <w:rPr>
          <w:rFonts w:hint="eastAsia" w:ascii="宋体" w:hAnsi="宋体" w:cs="宋体"/>
          <w:color w:val="auto"/>
          <w:highlight w:val="none"/>
        </w:rPr>
        <w:t>。</w:t>
      </w:r>
    </w:p>
    <w:p>
      <w:pPr>
        <w:adjustRightInd w:val="0"/>
        <w:snapToGrid w:val="0"/>
        <w:spacing w:line="360" w:lineRule="auto"/>
        <w:ind w:firstLine="420" w:firstLineChars="200"/>
        <w:textAlignment w:val="baseline"/>
        <w:rPr>
          <w:rFonts w:ascii="宋体" w:hAnsi="宋体" w:cs="宋体"/>
          <w:color w:val="auto"/>
          <w:highlight w:val="none"/>
        </w:rPr>
      </w:pPr>
      <w:r>
        <w:rPr>
          <w:rFonts w:hint="eastAsia" w:ascii="宋体" w:hAnsi="宋体" w:cs="宋体"/>
          <w:color w:val="auto"/>
          <w:highlight w:val="none"/>
          <w:lang w:val="en-US" w:eastAsia="zh-CN"/>
        </w:rPr>
        <w:t>7</w:t>
      </w:r>
      <w:r>
        <w:rPr>
          <w:rFonts w:ascii="宋体" w:hAnsi="宋体" w:cs="宋体"/>
          <w:color w:val="auto"/>
          <w:highlight w:val="none"/>
        </w:rPr>
        <w:t>、乙方应当严格按照本合同约定的服务内容及服务质量标准以及投标承诺事项，为甲方提供优质、高效的物业服务。</w:t>
      </w:r>
    </w:p>
    <w:p>
      <w:pPr>
        <w:adjustRightInd w:val="0"/>
        <w:snapToGrid w:val="0"/>
        <w:spacing w:line="360" w:lineRule="auto"/>
        <w:ind w:firstLine="420" w:firstLineChars="200"/>
        <w:textAlignment w:val="baseline"/>
        <w:rPr>
          <w:rFonts w:ascii="宋体" w:hAnsi="宋体" w:cs="宋体"/>
          <w:color w:val="auto"/>
          <w:highlight w:val="none"/>
        </w:rPr>
      </w:pPr>
      <w:r>
        <w:rPr>
          <w:rFonts w:hint="eastAsia" w:ascii="宋体" w:hAnsi="宋体" w:cs="宋体"/>
          <w:color w:val="auto"/>
          <w:highlight w:val="none"/>
          <w:lang w:val="en-US" w:eastAsia="zh-CN"/>
        </w:rPr>
        <w:t>8</w:t>
      </w:r>
      <w:r>
        <w:rPr>
          <w:rFonts w:ascii="宋体" w:hAnsi="宋体" w:cs="宋体"/>
          <w:color w:val="auto"/>
          <w:highlight w:val="none"/>
        </w:rPr>
        <w:t>、</w:t>
      </w:r>
      <w:r>
        <w:rPr>
          <w:rFonts w:hint="eastAsia" w:ascii="宋体" w:hAnsi="宋体" w:cs="宋体"/>
          <w:color w:val="auto"/>
          <w:highlight w:val="none"/>
        </w:rPr>
        <w:t>在本合同期间，因乙方提供的物业服务或乙方工作人员的原因造成</w:t>
      </w:r>
      <w:r>
        <w:rPr>
          <w:rFonts w:hint="eastAsia" w:ascii="宋体" w:hAnsi="宋体" w:cs="宋体"/>
          <w:color w:val="auto"/>
          <w:highlight w:val="none"/>
          <w:lang w:val="en-US" w:eastAsia="zh-CN"/>
        </w:rPr>
        <w:t>甲方或甲方工作人员以及</w:t>
      </w:r>
      <w:r>
        <w:rPr>
          <w:rFonts w:hint="eastAsia" w:ascii="宋体" w:hAnsi="宋体" w:cs="宋体"/>
          <w:color w:val="auto"/>
          <w:highlight w:val="none"/>
        </w:rPr>
        <w:t>第三人人身伤害、财物损失的，乙方承担全部法律责任和经济损失。</w:t>
      </w:r>
    </w:p>
    <w:p>
      <w:pPr>
        <w:adjustRightInd w:val="0"/>
        <w:snapToGrid w:val="0"/>
        <w:spacing w:line="360" w:lineRule="auto"/>
        <w:ind w:firstLine="420" w:firstLineChars="200"/>
        <w:textAlignment w:val="baseline"/>
        <w:rPr>
          <w:rFonts w:hint="eastAsia" w:ascii="宋体" w:hAnsi="宋体" w:cs="宋体"/>
          <w:color w:val="auto"/>
          <w:highlight w:val="none"/>
        </w:rPr>
      </w:pPr>
      <w:r>
        <w:rPr>
          <w:rFonts w:hint="eastAsia" w:ascii="宋体" w:hAnsi="宋体"/>
          <w:bCs/>
          <w:color w:val="auto"/>
          <w:szCs w:val="21"/>
          <w:highlight w:val="none"/>
          <w:lang w:val="en-US" w:eastAsia="zh-CN"/>
        </w:rPr>
        <w:t>9</w:t>
      </w:r>
      <w:r>
        <w:rPr>
          <w:rFonts w:hint="eastAsia" w:ascii="宋体" w:hAnsi="宋体"/>
          <w:bCs/>
          <w:color w:val="auto"/>
          <w:szCs w:val="21"/>
          <w:highlight w:val="none"/>
        </w:rPr>
        <w:t>、</w:t>
      </w:r>
      <w:r>
        <w:rPr>
          <w:rFonts w:hint="eastAsia" w:ascii="宋体" w:hAnsi="宋体" w:cs="宋体"/>
          <w:color w:val="auto"/>
          <w:highlight w:val="none"/>
        </w:rPr>
        <w:t>乙方应当严格按照《劳动合同法》等相关法律法规之规定，对乙方工作人员履行用工单位的法定义务，不得拖欠乙方工作人员工资等，否则由此产生的责任及后果由乙方承担，给甲方造成不利影响的，甲方有权单方面解除本合同且有权将应支付给乙方的物业服务费用直接支付给乙方相关工作人员。</w:t>
      </w:r>
    </w:p>
    <w:p>
      <w:pPr>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10、乙方应确保服务人员保守就服务过程中知悉的甲方秘密。</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lang w:val="en-US" w:eastAsia="zh-CN"/>
        </w:rPr>
        <w:t>11、</w:t>
      </w:r>
      <w:r>
        <w:rPr>
          <w:rFonts w:ascii="宋体" w:hAnsi="宋体"/>
          <w:bCs/>
          <w:color w:val="auto"/>
          <w:szCs w:val="21"/>
          <w:highlight w:val="none"/>
        </w:rPr>
        <w:t>法律、法规规定的其他义务。</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第六章　考核</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p>
    <w:p>
      <w:pPr>
        <w:autoSpaceDE w:val="0"/>
        <w:autoSpaceDN w:val="0"/>
        <w:adjustRightIn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第十一条　</w:t>
      </w:r>
      <w:r>
        <w:rPr>
          <w:rFonts w:hint="eastAsia" w:ascii="宋体" w:hAnsi="宋体"/>
          <w:bCs/>
          <w:color w:val="auto"/>
          <w:szCs w:val="21"/>
          <w:highlight w:val="none"/>
        </w:rPr>
        <w:t>甲方</w:t>
      </w:r>
      <w:r>
        <w:rPr>
          <w:rFonts w:hint="eastAsia" w:ascii="宋体" w:hAnsi="宋体"/>
          <w:bCs/>
          <w:color w:val="auto"/>
          <w:szCs w:val="21"/>
          <w:highlight w:val="none"/>
          <w:lang w:val="en-US" w:eastAsia="zh-CN"/>
        </w:rPr>
        <w:t>有权</w:t>
      </w:r>
      <w:r>
        <w:rPr>
          <w:rFonts w:hint="eastAsia" w:ascii="宋体" w:hAnsi="宋体"/>
          <w:bCs/>
          <w:color w:val="auto"/>
          <w:szCs w:val="21"/>
          <w:highlight w:val="none"/>
        </w:rPr>
        <w:t>对</w:t>
      </w:r>
      <w:r>
        <w:rPr>
          <w:rFonts w:ascii="宋体" w:hAnsi="宋体"/>
          <w:bCs/>
          <w:color w:val="auto"/>
          <w:szCs w:val="21"/>
          <w:highlight w:val="none"/>
        </w:rPr>
        <w:t>乙方</w:t>
      </w:r>
      <w:r>
        <w:rPr>
          <w:rFonts w:hint="eastAsia" w:ascii="宋体" w:hAnsi="宋体"/>
          <w:bCs/>
          <w:color w:val="auto"/>
          <w:szCs w:val="21"/>
          <w:highlight w:val="none"/>
          <w:lang w:val="en-US" w:eastAsia="zh-CN"/>
        </w:rPr>
        <w:t>服务情况</w:t>
      </w:r>
      <w:r>
        <w:rPr>
          <w:rFonts w:ascii="宋体" w:hAnsi="宋体"/>
          <w:bCs/>
          <w:color w:val="auto"/>
          <w:szCs w:val="21"/>
          <w:highlight w:val="none"/>
        </w:rPr>
        <w:t>实施考核。</w:t>
      </w:r>
      <w:r>
        <w:rPr>
          <w:rFonts w:hint="eastAsia" w:ascii="宋体" w:hAnsi="宋体"/>
          <w:bCs/>
          <w:color w:val="auto"/>
          <w:szCs w:val="21"/>
          <w:highlight w:val="none"/>
        </w:rPr>
        <w:t>月、季考核</w:t>
      </w:r>
      <w:r>
        <w:rPr>
          <w:rFonts w:hint="eastAsia" w:ascii="宋体" w:hAnsi="宋体"/>
          <w:bCs/>
          <w:color w:val="auto"/>
          <w:szCs w:val="21"/>
          <w:highlight w:val="none"/>
          <w:lang w:val="en-US" w:eastAsia="zh-CN"/>
        </w:rPr>
        <w:t>原则上由</w:t>
      </w:r>
      <w:r>
        <w:rPr>
          <w:rFonts w:hint="eastAsia" w:ascii="宋体" w:hAnsi="宋体"/>
          <w:bCs/>
          <w:color w:val="auto"/>
          <w:szCs w:val="21"/>
          <w:highlight w:val="none"/>
        </w:rPr>
        <w:t>乙方自行考核，甲方</w:t>
      </w:r>
      <w:r>
        <w:rPr>
          <w:rFonts w:hint="eastAsia" w:ascii="宋体" w:hAnsi="宋体"/>
          <w:bCs/>
          <w:color w:val="auto"/>
          <w:szCs w:val="21"/>
          <w:highlight w:val="none"/>
          <w:lang w:val="en-US" w:eastAsia="zh-CN"/>
        </w:rPr>
        <w:t>进行</w:t>
      </w:r>
      <w:r>
        <w:rPr>
          <w:rFonts w:hint="eastAsia" w:ascii="宋体" w:hAnsi="宋体"/>
          <w:bCs/>
          <w:color w:val="auto"/>
          <w:szCs w:val="21"/>
          <w:highlight w:val="none"/>
        </w:rPr>
        <w:t>监督，并由乙方每月、季最后一天提交考核资料给甲方；年中、年末</w:t>
      </w:r>
      <w:r>
        <w:rPr>
          <w:rFonts w:ascii="宋体" w:hAnsi="宋体"/>
          <w:bCs/>
          <w:color w:val="auto"/>
          <w:szCs w:val="21"/>
          <w:highlight w:val="none"/>
        </w:rPr>
        <w:t>考核</w:t>
      </w:r>
      <w:r>
        <w:rPr>
          <w:rFonts w:hint="eastAsia" w:ascii="宋体" w:hAnsi="宋体"/>
          <w:bCs/>
          <w:color w:val="auto"/>
          <w:szCs w:val="21"/>
          <w:highlight w:val="none"/>
        </w:rPr>
        <w:t>为双方共同考核。在合同履行期间，甲方</w:t>
      </w:r>
      <w:r>
        <w:rPr>
          <w:rFonts w:hint="eastAsia" w:ascii="宋体" w:hAnsi="宋体"/>
          <w:bCs/>
          <w:color w:val="auto"/>
          <w:szCs w:val="21"/>
          <w:highlight w:val="none"/>
          <w:lang w:val="en-US" w:eastAsia="zh-CN"/>
        </w:rPr>
        <w:t>也</w:t>
      </w:r>
      <w:r>
        <w:rPr>
          <w:rFonts w:hint="eastAsia" w:ascii="宋体" w:hAnsi="宋体"/>
          <w:bCs/>
          <w:color w:val="auto"/>
          <w:szCs w:val="21"/>
          <w:highlight w:val="none"/>
        </w:rPr>
        <w:t>有权</w:t>
      </w:r>
      <w:r>
        <w:rPr>
          <w:rFonts w:hint="eastAsia" w:ascii="宋体" w:hAnsi="宋体"/>
          <w:bCs/>
          <w:color w:val="auto"/>
          <w:szCs w:val="21"/>
          <w:highlight w:val="none"/>
          <w:lang w:val="en-US" w:eastAsia="zh-CN"/>
        </w:rPr>
        <w:t>根据乙方提供服务情况</w:t>
      </w:r>
      <w:r>
        <w:rPr>
          <w:rFonts w:hint="eastAsia" w:ascii="宋体" w:hAnsi="宋体"/>
          <w:bCs/>
          <w:color w:val="auto"/>
          <w:szCs w:val="21"/>
          <w:highlight w:val="none"/>
        </w:rPr>
        <w:t>对乙方进行考核，若乙方连续三次月考考核员工合格率不达60%，甲方有权决定乙方是否继续为甲方服务。</w:t>
      </w:r>
      <w:r>
        <w:rPr>
          <w:rFonts w:ascii="宋体" w:hAnsi="宋体"/>
          <w:bCs/>
          <w:color w:val="auto"/>
          <w:szCs w:val="21"/>
          <w:highlight w:val="none"/>
        </w:rPr>
        <w:t>乙方</w:t>
      </w:r>
      <w:r>
        <w:rPr>
          <w:rFonts w:hint="eastAsia" w:ascii="宋体" w:hAnsi="宋体"/>
          <w:bCs/>
          <w:color w:val="auto"/>
          <w:szCs w:val="21"/>
          <w:highlight w:val="none"/>
        </w:rPr>
        <w:t>全年综合</w:t>
      </w:r>
      <w:r>
        <w:rPr>
          <w:rFonts w:ascii="宋体" w:hAnsi="宋体"/>
          <w:bCs/>
          <w:color w:val="auto"/>
          <w:szCs w:val="21"/>
          <w:highlight w:val="none"/>
        </w:rPr>
        <w:t>得分＜</w:t>
      </w:r>
      <w:r>
        <w:rPr>
          <w:rFonts w:hint="eastAsia" w:ascii="宋体" w:hAnsi="宋体"/>
          <w:bCs/>
          <w:color w:val="auto"/>
          <w:szCs w:val="21"/>
          <w:highlight w:val="none"/>
        </w:rPr>
        <w:t>8</w:t>
      </w:r>
      <w:r>
        <w:rPr>
          <w:rFonts w:ascii="宋体" w:hAnsi="宋体"/>
          <w:bCs/>
          <w:color w:val="auto"/>
          <w:szCs w:val="21"/>
          <w:highlight w:val="none"/>
        </w:rPr>
        <w:t>0分，甲方扣除乙方</w:t>
      </w:r>
      <w:r>
        <w:rPr>
          <w:rFonts w:hint="eastAsia" w:ascii="宋体" w:hAnsi="宋体"/>
          <w:bCs/>
          <w:color w:val="auto"/>
          <w:szCs w:val="21"/>
          <w:highlight w:val="none"/>
        </w:rPr>
        <w:t>年度</w:t>
      </w:r>
      <w:r>
        <w:rPr>
          <w:rFonts w:ascii="宋体" w:hAnsi="宋体"/>
          <w:bCs/>
          <w:color w:val="auto"/>
          <w:szCs w:val="21"/>
          <w:highlight w:val="none"/>
        </w:rPr>
        <w:t>物业服务费的5％；乙方</w:t>
      </w:r>
      <w:r>
        <w:rPr>
          <w:rFonts w:hint="eastAsia" w:ascii="宋体" w:hAnsi="宋体"/>
          <w:bCs/>
          <w:color w:val="auto"/>
          <w:szCs w:val="21"/>
          <w:highlight w:val="none"/>
        </w:rPr>
        <w:t>全年综合</w:t>
      </w:r>
      <w:r>
        <w:rPr>
          <w:rFonts w:ascii="宋体" w:hAnsi="宋体"/>
          <w:bCs/>
          <w:color w:val="auto"/>
          <w:szCs w:val="21"/>
          <w:highlight w:val="none"/>
        </w:rPr>
        <w:t>得分≥</w:t>
      </w:r>
      <w:r>
        <w:rPr>
          <w:rFonts w:hint="eastAsia" w:ascii="宋体" w:hAnsi="宋体"/>
          <w:bCs/>
          <w:color w:val="auto"/>
          <w:szCs w:val="21"/>
          <w:highlight w:val="none"/>
        </w:rPr>
        <w:t>8</w:t>
      </w:r>
      <w:r>
        <w:rPr>
          <w:rFonts w:ascii="宋体" w:hAnsi="宋体"/>
          <w:bCs/>
          <w:color w:val="auto"/>
          <w:szCs w:val="21"/>
          <w:highlight w:val="none"/>
        </w:rPr>
        <w:t>0分，甲方按合同足额支付乙方服务费用。</w:t>
      </w:r>
      <w:r>
        <w:rPr>
          <w:rFonts w:hint="eastAsia" w:ascii="宋体" w:hAnsi="宋体"/>
          <w:bCs/>
          <w:color w:val="auto"/>
          <w:szCs w:val="21"/>
          <w:highlight w:val="none"/>
        </w:rPr>
        <w:t>考核期间，乙方不得以任何手段包庇、作假，一旦发现，甲方有权解除合同。</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第七章　违约责任</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第十二条</w:t>
      </w:r>
      <w:r>
        <w:rPr>
          <w:rFonts w:ascii="宋体" w:hAnsi="宋体"/>
          <w:bCs/>
          <w:color w:val="auto"/>
          <w:szCs w:val="21"/>
          <w:highlight w:val="none"/>
        </w:rPr>
        <w:t xml:space="preserve"> </w:t>
      </w:r>
      <w:r>
        <w:rPr>
          <w:rFonts w:hint="eastAsia" w:ascii="宋体" w:hAnsi="宋体"/>
          <w:bCs/>
          <w:color w:val="auto"/>
          <w:szCs w:val="21"/>
          <w:highlight w:val="none"/>
        </w:rPr>
        <w:t>乙方逾期提供服务的，每逾期一天按照物业费总额的万分之五向甲方支付违约金并扣减逾期服务时间的物业服务费用，逾期</w:t>
      </w:r>
      <w:r>
        <w:rPr>
          <w:rFonts w:hint="eastAsia" w:ascii="宋体" w:hAnsi="宋体"/>
          <w:bCs/>
          <w:color w:val="auto"/>
          <w:szCs w:val="21"/>
          <w:highlight w:val="none"/>
          <w:lang w:val="en-US" w:eastAsia="zh-CN"/>
        </w:rPr>
        <w:t>15</w:t>
      </w:r>
      <w:r>
        <w:rPr>
          <w:rFonts w:hint="eastAsia" w:ascii="宋体" w:hAnsi="宋体"/>
          <w:bCs/>
          <w:color w:val="auto"/>
          <w:szCs w:val="21"/>
          <w:highlight w:val="none"/>
        </w:rPr>
        <w:t>天仍未提供物业服务的，甲方还有权单方面解除本合同</w:t>
      </w:r>
      <w:r>
        <w:rPr>
          <w:rFonts w:hint="eastAsia" w:ascii="宋体" w:hAnsi="宋体"/>
          <w:bCs/>
          <w:color w:val="auto"/>
          <w:szCs w:val="21"/>
          <w:highlight w:val="none"/>
          <w:lang w:val="en-US" w:eastAsia="zh-CN"/>
        </w:rPr>
        <w:t>并要求乙方承担前述逾期违约金</w:t>
      </w:r>
      <w:r>
        <w:rPr>
          <w:rFonts w:hint="eastAsia" w:ascii="宋体" w:hAnsi="宋体"/>
          <w:bCs/>
          <w:color w:val="auto"/>
          <w:szCs w:val="21"/>
          <w:highlight w:val="none"/>
        </w:rPr>
        <w:t>。</w:t>
      </w:r>
    </w:p>
    <w:p>
      <w:pPr>
        <w:adjustRightInd w:val="0"/>
        <w:snapToGrid w:val="0"/>
        <w:spacing w:line="360" w:lineRule="auto"/>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第十三条</w:t>
      </w:r>
      <w:r>
        <w:rPr>
          <w:rFonts w:ascii="宋体" w:hAnsi="宋体"/>
          <w:bCs/>
          <w:color w:val="auto"/>
          <w:szCs w:val="21"/>
          <w:highlight w:val="none"/>
        </w:rPr>
        <w:t xml:space="preserve"> </w:t>
      </w:r>
      <w:r>
        <w:rPr>
          <w:rFonts w:hint="eastAsia" w:ascii="宋体" w:hAnsi="宋体"/>
          <w:bCs/>
          <w:color w:val="auto"/>
          <w:szCs w:val="21"/>
          <w:highlight w:val="none"/>
        </w:rPr>
        <w:t xml:space="preserve">乙方提供的服务不符合同约定的质量标准及内容的，甲方有权要求乙方立即采取补救措施予以补救并赔偿由此给甲方造成的损失，乙方拒绝补救或合同期限内累计发生 </w:t>
      </w:r>
      <w:r>
        <w:rPr>
          <w:rFonts w:hint="eastAsia" w:ascii="宋体" w:hAnsi="宋体"/>
          <w:bCs/>
          <w:color w:val="auto"/>
          <w:szCs w:val="21"/>
          <w:highlight w:val="none"/>
          <w:lang w:val="en-US" w:eastAsia="zh-CN"/>
        </w:rPr>
        <w:t>超过</w:t>
      </w:r>
      <w:r>
        <w:rPr>
          <w:rFonts w:hint="eastAsia" w:ascii="宋体" w:hAnsi="宋体"/>
          <w:bCs/>
          <w:color w:val="auto"/>
          <w:szCs w:val="21"/>
          <w:highlight w:val="none"/>
        </w:rPr>
        <w:t>5次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含）</w:t>
      </w:r>
      <w:r>
        <w:rPr>
          <w:rFonts w:hint="eastAsia" w:ascii="宋体" w:hAnsi="宋体"/>
          <w:bCs/>
          <w:color w:val="auto"/>
          <w:szCs w:val="21"/>
          <w:highlight w:val="none"/>
        </w:rPr>
        <w:t>违约或单次违约造成甲方损失</w:t>
      </w:r>
      <w:r>
        <w:rPr>
          <w:rFonts w:hint="eastAsia" w:ascii="宋体" w:hAnsi="宋体"/>
          <w:bCs/>
          <w:color w:val="auto"/>
          <w:szCs w:val="21"/>
          <w:highlight w:val="none"/>
          <w:lang w:val="en-US" w:eastAsia="zh-CN"/>
        </w:rPr>
        <w:t>达到   元</w:t>
      </w:r>
      <w:r>
        <w:rPr>
          <w:rFonts w:hint="eastAsia" w:ascii="宋体" w:hAnsi="宋体"/>
          <w:bCs/>
          <w:color w:val="auto"/>
          <w:szCs w:val="21"/>
          <w:highlight w:val="none"/>
        </w:rPr>
        <w:t>的，甲方还有权单方面解除本合同，并要求乙方支付合同约定价款5%的违约金并返还已支付但未</w:t>
      </w:r>
      <w:r>
        <w:rPr>
          <w:rFonts w:hint="eastAsia" w:ascii="宋体" w:hAnsi="宋体"/>
          <w:bCs/>
          <w:color w:val="auto"/>
          <w:szCs w:val="21"/>
          <w:highlight w:val="none"/>
          <w:lang w:val="en-US" w:eastAsia="zh-CN"/>
        </w:rPr>
        <w:t>完成服务</w:t>
      </w:r>
      <w:r>
        <w:rPr>
          <w:rFonts w:hint="eastAsia" w:ascii="宋体" w:hAnsi="宋体"/>
          <w:bCs/>
          <w:color w:val="auto"/>
          <w:szCs w:val="21"/>
          <w:highlight w:val="none"/>
        </w:rPr>
        <w:t>期间对应的物业费。</w:t>
      </w:r>
    </w:p>
    <w:p>
      <w:pPr>
        <w:adjustRightInd w:val="0"/>
        <w:snapToGrid w:val="0"/>
        <w:spacing w:line="360" w:lineRule="auto"/>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第十四条甲方无正当理由逾期支付服务费用的，每逾期一天按欠付金额的万分之三向乙方支付违约金。</w:t>
      </w:r>
    </w:p>
    <w:p>
      <w:pPr>
        <w:adjustRightInd w:val="0"/>
        <w:snapToGrid w:val="0"/>
        <w:spacing w:line="360" w:lineRule="auto"/>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第十五条其他违约责任本合同有约定的按照相关约定执行，本合同没有约定的按照《中华人民共和国合同法》的相关规定执行。</w:t>
      </w:r>
    </w:p>
    <w:p>
      <w:pPr>
        <w:adjustRightInd w:val="0"/>
        <w:snapToGrid w:val="0"/>
        <w:spacing w:line="360" w:lineRule="auto"/>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第十六条因不可抗力原因（指无法预见，不可避免的事件，例如战争，火灾、地震、台风、水灾、雷电灾害、罢工等公认的不可抗力事件）造成合同无法履行的，致使一方不能履行或延迟履行其在本合同项下的全部或部分义务，则该遭受不可抗力的一方不承担责任。</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第十七条合同因解除或期满终止的，乙方应当按甲方要求限期清场、退场并向甲方移交全部物业服务期限的档案资料，否则甲方有权拒绝向乙方支付任何价款，且每逾期清场、退场一天，乙方应当按照物业费总额的万分之三的标准向甲方支付违约金。同时，乙方逾期15天仍未清场、退场的，甲方还有权自行或委托他人进行强制清场、退场，由此发生的费用由乙方承担，且甲方不对乙方承担任何责任。</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第八章　附则</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第十</w:t>
      </w:r>
      <w:r>
        <w:rPr>
          <w:rFonts w:hint="eastAsia" w:ascii="宋体" w:hAnsi="宋体"/>
          <w:bCs/>
          <w:color w:val="auto"/>
          <w:szCs w:val="21"/>
          <w:highlight w:val="none"/>
        </w:rPr>
        <w:t>八</w:t>
      </w:r>
      <w:r>
        <w:rPr>
          <w:rFonts w:ascii="宋体" w:hAnsi="宋体"/>
          <w:bCs/>
          <w:color w:val="auto"/>
          <w:szCs w:val="21"/>
          <w:highlight w:val="none"/>
        </w:rPr>
        <w:t>条　本协议在履行中如发生争议，双方可协商解决，协商不成的，可向甲方住所地人民法院提起诉讼。</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第十</w:t>
      </w:r>
      <w:r>
        <w:rPr>
          <w:rFonts w:hint="eastAsia" w:ascii="宋体" w:hAnsi="宋体"/>
          <w:bCs/>
          <w:color w:val="auto"/>
          <w:szCs w:val="21"/>
          <w:highlight w:val="none"/>
        </w:rPr>
        <w:t>九</w:t>
      </w:r>
      <w:r>
        <w:rPr>
          <w:rFonts w:ascii="宋体" w:hAnsi="宋体"/>
          <w:bCs/>
          <w:color w:val="auto"/>
          <w:szCs w:val="21"/>
          <w:highlight w:val="none"/>
        </w:rPr>
        <w:t>条　本协议正本连同附件壹式</w:t>
      </w:r>
      <w:r>
        <w:rPr>
          <w:rFonts w:hint="eastAsia" w:ascii="宋体" w:hAnsi="宋体"/>
          <w:bCs/>
          <w:color w:val="auto"/>
          <w:szCs w:val="21"/>
          <w:highlight w:val="none"/>
          <w:lang w:val="en-US" w:eastAsia="zh-CN"/>
        </w:rPr>
        <w:t>捌</w:t>
      </w:r>
      <w:r>
        <w:rPr>
          <w:rFonts w:ascii="宋体" w:hAnsi="宋体"/>
          <w:bCs/>
          <w:color w:val="auto"/>
          <w:szCs w:val="21"/>
          <w:highlight w:val="none"/>
        </w:rPr>
        <w:t>份，甲、乙双方各执</w:t>
      </w:r>
      <w:r>
        <w:rPr>
          <w:rFonts w:hint="eastAsia" w:ascii="宋体" w:hAnsi="宋体"/>
          <w:bCs/>
          <w:color w:val="auto"/>
          <w:szCs w:val="21"/>
          <w:highlight w:val="none"/>
          <w:lang w:val="en-US" w:eastAsia="zh-CN"/>
        </w:rPr>
        <w:t>肆</w:t>
      </w:r>
      <w:r>
        <w:rPr>
          <w:rFonts w:ascii="宋体" w:hAnsi="宋体"/>
          <w:bCs/>
          <w:color w:val="auto"/>
          <w:szCs w:val="21"/>
          <w:highlight w:val="none"/>
        </w:rPr>
        <w:t>份，具同等法律效力。</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第</w:t>
      </w:r>
      <w:r>
        <w:rPr>
          <w:rFonts w:hint="eastAsia" w:ascii="宋体" w:hAnsi="宋体"/>
          <w:bCs/>
          <w:color w:val="auto"/>
          <w:szCs w:val="21"/>
          <w:highlight w:val="none"/>
        </w:rPr>
        <w:t>二十</w:t>
      </w:r>
      <w:r>
        <w:rPr>
          <w:rFonts w:ascii="宋体" w:hAnsi="宋体"/>
          <w:bCs/>
          <w:color w:val="auto"/>
          <w:szCs w:val="21"/>
          <w:highlight w:val="none"/>
        </w:rPr>
        <w:t>条  本协议双方签字并盖章之日起生效。</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第二十</w:t>
      </w:r>
      <w:r>
        <w:rPr>
          <w:rFonts w:hint="eastAsia" w:ascii="宋体" w:hAnsi="宋体"/>
          <w:bCs/>
          <w:color w:val="auto"/>
          <w:szCs w:val="21"/>
          <w:highlight w:val="none"/>
          <w:lang w:val="en-US" w:eastAsia="zh-CN"/>
        </w:rPr>
        <w:t>一</w:t>
      </w:r>
      <w:r>
        <w:rPr>
          <w:rFonts w:hint="eastAsia" w:ascii="宋体" w:hAnsi="宋体"/>
          <w:bCs/>
          <w:color w:val="auto"/>
          <w:szCs w:val="21"/>
          <w:highlight w:val="none"/>
        </w:rPr>
        <w:t>条履约保证金</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1.乙方向甲方提供履约保证金，履约担保形式为：</w:t>
      </w:r>
      <w:r>
        <w:rPr>
          <w:rFonts w:hint="eastAsia" w:ascii="宋体" w:hAnsi="宋体"/>
          <w:bCs/>
          <w:color w:val="auto"/>
          <w:szCs w:val="21"/>
          <w:highlight w:val="none"/>
          <w:u w:val="single"/>
          <w:lang w:val="en-US" w:eastAsia="zh-CN"/>
        </w:rPr>
        <w:t>转账</w:t>
      </w:r>
      <w:r>
        <w:rPr>
          <w:rFonts w:hint="eastAsia" w:ascii="宋体" w:hAnsi="宋体"/>
          <w:bCs/>
          <w:color w:val="auto"/>
          <w:szCs w:val="21"/>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履约担保的金额为：</w:t>
      </w:r>
      <w:r>
        <w:rPr>
          <w:rFonts w:hint="eastAsia" w:ascii="宋体" w:hAnsi="宋体"/>
          <w:bCs/>
          <w:color w:val="auto"/>
          <w:szCs w:val="21"/>
          <w:highlight w:val="none"/>
          <w:u w:val="single"/>
          <w:lang w:val="en-US" w:eastAsia="zh-CN"/>
        </w:rPr>
        <w:t>本</w:t>
      </w:r>
      <w:r>
        <w:rPr>
          <w:rFonts w:hint="eastAsia" w:ascii="宋体" w:hAnsi="宋体"/>
          <w:bCs/>
          <w:color w:val="auto"/>
          <w:szCs w:val="21"/>
          <w:highlight w:val="none"/>
          <w:u w:val="single"/>
        </w:rPr>
        <w:t>合同</w:t>
      </w:r>
      <w:r>
        <w:rPr>
          <w:rFonts w:hint="eastAsia" w:ascii="宋体" w:hAnsi="宋体"/>
          <w:bCs/>
          <w:color w:val="auto"/>
          <w:szCs w:val="21"/>
          <w:highlight w:val="none"/>
          <w:u w:val="single"/>
          <w:lang w:val="en-US" w:eastAsia="zh-CN"/>
        </w:rPr>
        <w:t>总</w:t>
      </w:r>
      <w:r>
        <w:rPr>
          <w:rFonts w:hint="eastAsia" w:ascii="宋体" w:hAnsi="宋体"/>
          <w:bCs/>
          <w:color w:val="auto"/>
          <w:szCs w:val="21"/>
          <w:highlight w:val="none"/>
          <w:u w:val="single"/>
        </w:rPr>
        <w:t>金额的10%</w:t>
      </w:r>
      <w:r>
        <w:rPr>
          <w:rFonts w:hint="eastAsia" w:ascii="宋体" w:hAnsi="宋体"/>
          <w:bCs/>
          <w:color w:val="auto"/>
          <w:szCs w:val="21"/>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提交时间：</w:t>
      </w:r>
      <w:r>
        <w:rPr>
          <w:rFonts w:hint="eastAsia" w:ascii="宋体" w:hAnsi="宋体"/>
          <w:bCs/>
          <w:color w:val="auto"/>
          <w:szCs w:val="21"/>
          <w:highlight w:val="none"/>
          <w:u w:val="single"/>
        </w:rPr>
        <w:t>合同签订前7天内</w:t>
      </w:r>
      <w:r>
        <w:rPr>
          <w:rFonts w:hint="eastAsia" w:ascii="宋体" w:hAnsi="宋体"/>
          <w:bCs/>
          <w:color w:val="auto"/>
          <w:szCs w:val="21"/>
          <w:highlight w:val="none"/>
        </w:rPr>
        <w:t>。</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2.履约保证金的退还：合同履约完毕后一次性无息退还。</w:t>
      </w:r>
    </w:p>
    <w:p>
      <w:pPr>
        <w:adjustRightInd w:val="0"/>
        <w:snapToGrid w:val="0"/>
        <w:spacing w:line="360" w:lineRule="auto"/>
        <w:ind w:firstLine="420" w:firstLineChars="200"/>
        <w:textAlignment w:val="baseline"/>
        <w:rPr>
          <w:rFonts w:ascii="宋体" w:hAnsi="宋体"/>
          <w:bCs/>
          <w:color w:val="auto"/>
          <w:szCs w:val="21"/>
          <w:highlight w:val="none"/>
        </w:rPr>
      </w:pPr>
      <w:r>
        <w:rPr>
          <w:rFonts w:hint="eastAsia" w:ascii="宋体" w:hAnsi="宋体"/>
          <w:bCs/>
          <w:color w:val="auto"/>
          <w:szCs w:val="21"/>
          <w:highlight w:val="none"/>
        </w:rPr>
        <w:t>3.双方约定的其他担保事项：若乙方不能按约定在合同签订前向甲方提交履约保证金，甲方将有充分的理由不予签订合同，由此对甲方造成的损失超过履约保证金数额的，还应当对超过部分予以赔偿。</w:t>
      </w:r>
    </w:p>
    <w:p>
      <w:pPr>
        <w:adjustRightInd w:val="0"/>
        <w:snapToGrid w:val="0"/>
        <w:spacing w:before="78" w:beforeLines="25" w:after="78" w:afterLines="25" w:line="360" w:lineRule="auto"/>
        <w:ind w:firstLine="480" w:firstLineChars="200"/>
        <w:jc w:val="center"/>
        <w:textAlignment w:val="baseline"/>
        <w:rPr>
          <w:rFonts w:ascii="宋体" w:hAnsi="宋体"/>
          <w:b/>
          <w:color w:val="auto"/>
          <w:sz w:val="24"/>
          <w:highlight w:val="none"/>
        </w:rPr>
      </w:pPr>
      <w:r>
        <w:rPr>
          <w:rFonts w:ascii="宋体" w:hAnsi="宋体"/>
          <w:b/>
          <w:color w:val="auto"/>
          <w:sz w:val="24"/>
          <w:highlight w:val="none"/>
        </w:rPr>
        <w:t>第九章　合同其他组成部分</w:t>
      </w:r>
    </w:p>
    <w:p>
      <w:pPr>
        <w:adjustRightInd w:val="0"/>
        <w:snapToGrid w:val="0"/>
        <w:spacing w:line="360" w:lineRule="auto"/>
        <w:ind w:firstLine="420" w:firstLineChars="200"/>
        <w:textAlignment w:val="baseline"/>
        <w:rPr>
          <w:rFonts w:ascii="宋体" w:hAnsi="宋体"/>
          <w:b/>
          <w:bCs/>
          <w:color w:val="auto"/>
          <w:szCs w:val="21"/>
          <w:highlight w:val="none"/>
        </w:rPr>
      </w:pPr>
    </w:p>
    <w:p>
      <w:pPr>
        <w:adjustRightInd w:val="0"/>
        <w:snapToGrid w:val="0"/>
        <w:spacing w:line="360" w:lineRule="auto"/>
        <w:ind w:firstLine="420" w:firstLineChars="200"/>
        <w:textAlignment w:val="baseline"/>
        <w:rPr>
          <w:rFonts w:ascii="宋体" w:hAnsi="宋体"/>
          <w:bCs/>
          <w:color w:val="auto"/>
          <w:szCs w:val="21"/>
          <w:highlight w:val="none"/>
        </w:rPr>
      </w:pPr>
    </w:p>
    <w:p>
      <w:pPr>
        <w:adjustRightInd w:val="0"/>
        <w:snapToGrid w:val="0"/>
        <w:spacing w:line="360" w:lineRule="auto"/>
        <w:ind w:firstLine="420" w:firstLineChars="200"/>
        <w:textAlignment w:val="baseline"/>
        <w:rPr>
          <w:rFonts w:ascii="宋体" w:hAnsi="宋体"/>
          <w:bCs/>
          <w:color w:val="auto"/>
          <w:szCs w:val="21"/>
          <w:highlight w:val="none"/>
        </w:rPr>
      </w:pP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甲方：                               乙方：</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（盖章）                             （盖章）</w:t>
      </w: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代表：                               代表：</w:t>
      </w:r>
    </w:p>
    <w:p>
      <w:pPr>
        <w:adjustRightInd w:val="0"/>
        <w:snapToGrid w:val="0"/>
        <w:spacing w:line="360" w:lineRule="auto"/>
        <w:ind w:firstLine="420" w:firstLineChars="200"/>
        <w:textAlignment w:val="baseline"/>
        <w:rPr>
          <w:rFonts w:ascii="宋体" w:hAnsi="宋体"/>
          <w:bCs/>
          <w:color w:val="auto"/>
          <w:szCs w:val="21"/>
          <w:highlight w:val="none"/>
        </w:rPr>
      </w:pPr>
    </w:p>
    <w:p>
      <w:pPr>
        <w:adjustRightInd w:val="0"/>
        <w:snapToGrid w:val="0"/>
        <w:spacing w:line="360" w:lineRule="auto"/>
        <w:ind w:firstLine="420" w:firstLineChars="200"/>
        <w:textAlignment w:val="baseline"/>
        <w:rPr>
          <w:rFonts w:ascii="宋体" w:hAnsi="宋体"/>
          <w:bCs/>
          <w:color w:val="auto"/>
          <w:szCs w:val="21"/>
          <w:highlight w:val="none"/>
        </w:rPr>
      </w:pPr>
      <w:r>
        <w:rPr>
          <w:rFonts w:ascii="宋体" w:hAnsi="宋体"/>
          <w:bCs/>
          <w:color w:val="auto"/>
          <w:szCs w:val="21"/>
          <w:highlight w:val="none"/>
        </w:rPr>
        <w:t>年    月    日                        年    月    日</w:t>
      </w:r>
    </w:p>
    <w:p>
      <w:pPr>
        <w:spacing w:line="360" w:lineRule="auto"/>
        <w:ind w:firstLine="420" w:firstLineChars="200"/>
        <w:rPr>
          <w:rFonts w:cs="仿宋" w:asciiTheme="minorEastAsia" w:hAnsiTheme="minorEastAsia" w:eastAsiaTheme="minorEastAsia"/>
          <w:color w:val="auto"/>
          <w:szCs w:val="21"/>
          <w:highlight w:val="none"/>
        </w:rPr>
      </w:pPr>
    </w:p>
    <w:bookmarkEnd w:id="142"/>
    <w:bookmarkEnd w:id="143"/>
    <w:p>
      <w:pPr>
        <w:widowControl/>
        <w:snapToGrid w:val="0"/>
        <w:spacing w:line="120" w:lineRule="exact"/>
        <w:jc w:val="center"/>
        <w:rPr>
          <w:rFonts w:ascii="宋体" w:hAnsi="宋体"/>
          <w:b/>
          <w:bCs/>
          <w:color w:val="auto"/>
          <w:kern w:val="0"/>
          <w:sz w:val="24"/>
          <w:highlight w:val="none"/>
        </w:rPr>
      </w:pPr>
      <w:r>
        <w:rPr>
          <w:rFonts w:ascii="宋体" w:hAnsi="宋体"/>
          <w:color w:val="auto"/>
          <w:kern w:val="0"/>
          <w:sz w:val="28"/>
          <w:szCs w:val="28"/>
          <w:highlight w:val="none"/>
        </w:rPr>
        <w:br w:type="page"/>
      </w:r>
    </w:p>
    <w:p>
      <w:pPr>
        <w:spacing w:line="360" w:lineRule="auto"/>
        <w:jc w:val="center"/>
        <w:rPr>
          <w:rFonts w:hAnsi="宋体"/>
          <w:b/>
          <w:bCs/>
          <w:color w:val="auto"/>
          <w:kern w:val="0"/>
          <w:sz w:val="32"/>
          <w:szCs w:val="20"/>
          <w:highlight w:val="none"/>
        </w:rPr>
      </w:pPr>
      <w:r>
        <w:rPr>
          <w:rFonts w:hint="eastAsia" w:hAnsi="宋体"/>
          <w:b/>
          <w:bCs/>
          <w:color w:val="auto"/>
          <w:kern w:val="0"/>
          <w:sz w:val="32"/>
          <w:szCs w:val="20"/>
          <w:highlight w:val="none"/>
        </w:rPr>
        <w:t>第四章响应文件格式</w:t>
      </w:r>
      <w:bookmarkEnd w:id="144"/>
      <w:bookmarkEnd w:id="145"/>
    </w:p>
    <w:p>
      <w:pPr>
        <w:spacing w:line="360" w:lineRule="auto"/>
        <w:jc w:val="center"/>
        <w:rPr>
          <w:b/>
          <w:color w:val="auto"/>
          <w:sz w:val="44"/>
          <w:szCs w:val="44"/>
          <w:highlight w:val="none"/>
        </w:rPr>
      </w:pPr>
      <w:r>
        <w:rPr>
          <w:rFonts w:hint="eastAsia"/>
          <w:b/>
          <w:color w:val="auto"/>
          <w:sz w:val="44"/>
          <w:szCs w:val="44"/>
          <w:highlight w:val="none"/>
        </w:rPr>
        <w:t>云南省国有金融资本控股集团有限公司2021年度物业服务项目</w:t>
      </w: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autoSpaceDE w:val="0"/>
        <w:autoSpaceDN w:val="0"/>
        <w:adjustRightInd w:val="0"/>
        <w:spacing w:line="360" w:lineRule="auto"/>
        <w:jc w:val="center"/>
        <w:rPr>
          <w:rFonts w:hAnsi="Courier New" w:cs="Courier New"/>
          <w:b/>
          <w:color w:val="auto"/>
          <w:sz w:val="84"/>
          <w:szCs w:val="84"/>
          <w:highlight w:val="none"/>
        </w:rPr>
      </w:pPr>
      <w:r>
        <w:rPr>
          <w:rFonts w:hint="eastAsia" w:hAnsi="Courier New" w:cs="Courier New"/>
          <w:b/>
          <w:color w:val="auto"/>
          <w:sz w:val="84"/>
          <w:szCs w:val="84"/>
          <w:highlight w:val="none"/>
        </w:rPr>
        <w:t>响应文件</w:t>
      </w:r>
    </w:p>
    <w:p>
      <w:pPr>
        <w:spacing w:line="360" w:lineRule="auto"/>
        <w:jc w:val="center"/>
        <w:rPr>
          <w:color w:val="auto"/>
          <w:sz w:val="24"/>
          <w:highlight w:val="none"/>
        </w:rPr>
      </w:pPr>
    </w:p>
    <w:p>
      <w:pPr>
        <w:autoSpaceDE w:val="0"/>
        <w:autoSpaceDN w:val="0"/>
        <w:adjustRightInd w:val="0"/>
        <w:spacing w:line="360" w:lineRule="auto"/>
        <w:ind w:firstLine="3046" w:firstLineChars="1088"/>
        <w:jc w:val="left"/>
        <w:rPr>
          <w:rFonts w:hint="eastAsia" w:hAnsi="Courier New" w:cs="Courier New"/>
          <w:b/>
          <w:color w:val="auto"/>
          <w:sz w:val="28"/>
          <w:szCs w:val="28"/>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ind w:firstLine="1980" w:firstLineChars="825"/>
        <w:rPr>
          <w:color w:val="auto"/>
          <w:sz w:val="24"/>
          <w:highlight w:val="none"/>
        </w:rPr>
      </w:pPr>
      <w:r>
        <w:rPr>
          <w:rFonts w:hint="eastAsia"/>
          <w:color w:val="auto"/>
          <w:sz w:val="24"/>
          <w:highlight w:val="none"/>
        </w:rPr>
        <w:t>供应商：（盖单位章）</w:t>
      </w:r>
    </w:p>
    <w:p>
      <w:pPr>
        <w:spacing w:line="360" w:lineRule="auto"/>
        <w:ind w:firstLine="1980" w:firstLineChars="825"/>
        <w:rPr>
          <w:color w:val="auto"/>
          <w:sz w:val="24"/>
          <w:highlight w:val="none"/>
        </w:rPr>
      </w:pPr>
      <w:r>
        <w:rPr>
          <w:rFonts w:hint="eastAsia"/>
          <w:color w:val="auto"/>
          <w:sz w:val="24"/>
          <w:highlight w:val="none"/>
        </w:rPr>
        <w:t>法定代表人或其委托代理人：（签字）</w:t>
      </w:r>
    </w:p>
    <w:p>
      <w:pPr>
        <w:spacing w:line="360" w:lineRule="auto"/>
        <w:ind w:firstLine="1980" w:firstLineChars="825"/>
        <w:jc w:val="center"/>
        <w:rPr>
          <w:color w:val="auto"/>
          <w:sz w:val="24"/>
          <w:highlight w:val="none"/>
        </w:rPr>
      </w:pPr>
    </w:p>
    <w:p>
      <w:pPr>
        <w:spacing w:line="360" w:lineRule="auto"/>
        <w:ind w:firstLine="1980" w:firstLineChars="825"/>
        <w:jc w:val="center"/>
        <w:rPr>
          <w:color w:val="auto"/>
          <w:sz w:val="24"/>
          <w:highlight w:val="none"/>
        </w:rPr>
      </w:pPr>
      <w:r>
        <w:rPr>
          <w:rFonts w:hint="eastAsia"/>
          <w:color w:val="auto"/>
          <w:sz w:val="24"/>
          <w:highlight w:val="none"/>
        </w:rPr>
        <w:t>年月日</w:t>
      </w:r>
    </w:p>
    <w:p>
      <w:pPr>
        <w:keepNext/>
        <w:keepLines/>
        <w:spacing w:after="120" w:line="360" w:lineRule="auto"/>
        <w:outlineLvl w:val="1"/>
        <w:rPr>
          <w:color w:val="auto"/>
          <w:szCs w:val="21"/>
          <w:highlight w:val="none"/>
        </w:rPr>
      </w:pPr>
    </w:p>
    <w:p>
      <w:pPr>
        <w:spacing w:line="360" w:lineRule="auto"/>
        <w:ind w:left="480"/>
        <w:jc w:val="left"/>
        <w:rPr>
          <w:color w:val="auto"/>
          <w:szCs w:val="21"/>
          <w:highlight w:val="none"/>
        </w:rPr>
      </w:pPr>
    </w:p>
    <w:p>
      <w:pPr>
        <w:rPr>
          <w:color w:val="auto"/>
          <w:highlight w:val="none"/>
        </w:rPr>
      </w:pPr>
      <w:r>
        <w:rPr>
          <w:rFonts w:hint="eastAsia"/>
          <w:b/>
          <w:color w:val="auto"/>
          <w:szCs w:val="21"/>
          <w:highlight w:val="none"/>
        </w:rPr>
        <w:t>注：报价响应文件内容须按照以下格式要求进行目录编制，按顺序进行装订，并每页连续标注页码。</w:t>
      </w:r>
    </w:p>
    <w:p>
      <w:pPr>
        <w:rPr>
          <w:rFonts w:ascii="宋体" w:hAnsi="宋体"/>
          <w:b/>
          <w:color w:val="auto"/>
          <w:sz w:val="30"/>
          <w:szCs w:val="30"/>
          <w:highlight w:val="none"/>
        </w:rPr>
      </w:pPr>
      <w:r>
        <w:rPr>
          <w:rFonts w:ascii="Arial" w:hAnsi="Arial"/>
          <w:color w:val="auto"/>
          <w:sz w:val="32"/>
          <w:szCs w:val="21"/>
          <w:highlight w:val="none"/>
          <w:lang w:val="zh-CN"/>
        </w:rPr>
        <w:br w:type="page"/>
      </w:r>
      <w:bookmarkStart w:id="146" w:name="_Toc347849247"/>
      <w:bookmarkStart w:id="147" w:name="_Toc383175509"/>
      <w:bookmarkStart w:id="148" w:name="_Toc347849251"/>
      <w:bookmarkStart w:id="149" w:name="_Toc383177370"/>
      <w:bookmarkStart w:id="150" w:name="_Toc86124091"/>
      <w:r>
        <w:rPr>
          <w:rFonts w:hint="eastAsia" w:ascii="宋体" w:hAnsi="宋体"/>
          <w:b/>
          <w:bCs/>
          <w:color w:val="auto"/>
          <w:sz w:val="30"/>
          <w:szCs w:val="30"/>
          <w:highlight w:val="none"/>
        </w:rPr>
        <w:t>格式</w:t>
      </w:r>
      <w:r>
        <w:rPr>
          <w:rFonts w:ascii="宋体" w:hAnsi="宋体"/>
          <w:b/>
          <w:bCs/>
          <w:color w:val="auto"/>
          <w:sz w:val="30"/>
          <w:szCs w:val="30"/>
          <w:highlight w:val="none"/>
        </w:rPr>
        <w:t>1</w:t>
      </w:r>
      <w:bookmarkEnd w:id="146"/>
      <w:bookmarkEnd w:id="147"/>
    </w:p>
    <w:p>
      <w:pPr>
        <w:keepNext/>
        <w:keepLines/>
        <w:spacing w:after="120" w:line="360" w:lineRule="auto"/>
        <w:jc w:val="center"/>
        <w:outlineLvl w:val="1"/>
        <w:rPr>
          <w:rFonts w:ascii="宋体" w:hAnsi="宋体"/>
          <w:b/>
          <w:color w:val="auto"/>
          <w:kern w:val="0"/>
          <w:sz w:val="32"/>
          <w:szCs w:val="32"/>
          <w:highlight w:val="none"/>
        </w:rPr>
      </w:pPr>
      <w:bookmarkStart w:id="151" w:name="_Toc383175510"/>
      <w:bookmarkStart w:id="152" w:name="_Toc347849248"/>
      <w:r>
        <w:rPr>
          <w:rFonts w:hint="eastAsia" w:ascii="宋体" w:hAnsi="宋体"/>
          <w:b/>
          <w:color w:val="auto"/>
          <w:kern w:val="0"/>
          <w:sz w:val="32"/>
          <w:szCs w:val="32"/>
          <w:highlight w:val="none"/>
        </w:rPr>
        <w:t>资格证明文件</w:t>
      </w:r>
      <w:bookmarkEnd w:id="151"/>
      <w:bookmarkEnd w:id="152"/>
    </w:p>
    <w:p>
      <w:pPr>
        <w:spacing w:line="360" w:lineRule="auto"/>
        <w:jc w:val="left"/>
        <w:rPr>
          <w:rFonts w:ascii="宋体" w:hAnsi="宋体"/>
          <w:color w:val="auto"/>
          <w:sz w:val="24"/>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 xml:space="preserve">1. </w:t>
      </w:r>
      <w:r>
        <w:rPr>
          <w:rFonts w:hint="eastAsia" w:ascii="宋体" w:hAnsi="宋体"/>
          <w:color w:val="auto"/>
          <w:highlight w:val="none"/>
        </w:rPr>
        <w:t>所附格式要求填写的全部内容都必须填写。</w:t>
      </w:r>
    </w:p>
    <w:p>
      <w:pPr>
        <w:spacing w:line="360" w:lineRule="auto"/>
        <w:ind w:firstLine="420" w:firstLineChars="200"/>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供应商提交的材料将被</w:t>
      </w:r>
      <w:r>
        <w:rPr>
          <w:rFonts w:hint="eastAsia" w:ascii="宋体" w:hAnsi="宋体"/>
          <w:color w:val="auto"/>
          <w:szCs w:val="21"/>
          <w:highlight w:val="none"/>
        </w:rPr>
        <w:t>保密，但不退还。</w:t>
      </w:r>
    </w:p>
    <w:p>
      <w:pPr>
        <w:spacing w:line="360" w:lineRule="auto"/>
        <w:ind w:firstLine="480" w:firstLineChars="200"/>
        <w:rPr>
          <w:rFonts w:ascii="宋体" w:hAnsi="宋体"/>
          <w:color w:val="auto"/>
          <w:sz w:val="24"/>
          <w:highlight w:val="none"/>
        </w:rPr>
      </w:pPr>
    </w:p>
    <w:p>
      <w:pPr>
        <w:autoSpaceDE w:val="0"/>
        <w:autoSpaceDN w:val="0"/>
        <w:adjustRightInd w:val="0"/>
        <w:spacing w:line="360" w:lineRule="auto"/>
        <w:jc w:val="left"/>
        <w:rPr>
          <w:rFonts w:ascii="宋体" w:hAnsi="宋体" w:cs="Courier New"/>
          <w:b/>
          <w:color w:val="auto"/>
          <w:sz w:val="28"/>
          <w:szCs w:val="28"/>
          <w:highlight w:val="none"/>
        </w:rPr>
      </w:pPr>
      <w:r>
        <w:rPr>
          <w:rFonts w:ascii="宋体" w:hAnsi="宋体" w:cs="Courier New"/>
          <w:color w:val="auto"/>
          <w:sz w:val="24"/>
          <w:szCs w:val="21"/>
          <w:highlight w:val="none"/>
        </w:rPr>
        <w:br w:type="page"/>
      </w:r>
      <w:r>
        <w:rPr>
          <w:rFonts w:hint="eastAsia" w:ascii="宋体" w:hAnsi="宋体" w:cs="Courier New"/>
          <w:b/>
          <w:color w:val="auto"/>
          <w:sz w:val="28"/>
          <w:szCs w:val="28"/>
          <w:highlight w:val="none"/>
        </w:rPr>
        <w:t>格式</w:t>
      </w:r>
      <w:r>
        <w:rPr>
          <w:rFonts w:ascii="宋体" w:hAnsi="宋体" w:cs="Courier New"/>
          <w:b/>
          <w:color w:val="auto"/>
          <w:sz w:val="28"/>
          <w:szCs w:val="28"/>
          <w:highlight w:val="none"/>
        </w:rPr>
        <w:t>1-1</w:t>
      </w:r>
      <w:r>
        <w:rPr>
          <w:rFonts w:hint="eastAsia" w:ascii="宋体" w:hAnsi="宋体" w:cs="Courier New"/>
          <w:b/>
          <w:color w:val="auto"/>
          <w:sz w:val="28"/>
          <w:szCs w:val="28"/>
          <w:highlight w:val="none"/>
        </w:rPr>
        <w:t>：</w:t>
      </w:r>
    </w:p>
    <w:p>
      <w:pPr>
        <w:keepNext/>
        <w:keepLines/>
        <w:spacing w:before="120" w:after="120" w:line="360" w:lineRule="auto"/>
        <w:ind w:left="851"/>
        <w:jc w:val="center"/>
        <w:outlineLvl w:val="2"/>
        <w:rPr>
          <w:rFonts w:ascii="宋体" w:hAnsi="宋体"/>
          <w:b/>
          <w:bCs/>
          <w:color w:val="auto"/>
          <w:kern w:val="0"/>
          <w:sz w:val="32"/>
          <w:szCs w:val="32"/>
          <w:highlight w:val="none"/>
        </w:rPr>
      </w:pPr>
      <w:bookmarkStart w:id="153" w:name="_Toc373844199"/>
      <w:bookmarkStart w:id="154" w:name="_Toc386046249"/>
      <w:bookmarkStart w:id="155" w:name="_Toc373844132"/>
      <w:r>
        <w:rPr>
          <w:rFonts w:hint="eastAsia" w:ascii="宋体" w:hAnsi="宋体"/>
          <w:b/>
          <w:bCs/>
          <w:color w:val="auto"/>
          <w:kern w:val="0"/>
          <w:sz w:val="32"/>
          <w:szCs w:val="32"/>
          <w:highlight w:val="none"/>
        </w:rPr>
        <w:t>本单位基本情况表</w:t>
      </w:r>
      <w:bookmarkEnd w:id="153"/>
      <w:bookmarkEnd w:id="154"/>
      <w:bookmarkEnd w:id="155"/>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9"/>
        <w:gridCol w:w="1284"/>
        <w:gridCol w:w="209"/>
        <w:gridCol w:w="1188"/>
        <w:gridCol w:w="311"/>
        <w:gridCol w:w="1282"/>
        <w:gridCol w:w="756"/>
        <w:gridCol w:w="553"/>
        <w:gridCol w:w="651"/>
        <w:gridCol w:w="419"/>
        <w:gridCol w:w="1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供应商全称</w:t>
            </w:r>
          </w:p>
        </w:tc>
        <w:tc>
          <w:tcPr>
            <w:tcW w:w="7796" w:type="dxa"/>
            <w:gridSpan w:val="10"/>
            <w:tcBorders>
              <w:top w:val="thinThickSmallGap" w:color="auto" w:sz="2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详细地址</w:t>
            </w:r>
          </w:p>
        </w:tc>
        <w:tc>
          <w:tcPr>
            <w:tcW w:w="7796" w:type="dxa"/>
            <w:gridSpan w:val="10"/>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主管部门</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法定代表人</w:t>
            </w:r>
          </w:p>
        </w:tc>
        <w:tc>
          <w:tcPr>
            <w:tcW w:w="25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0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职务</w:t>
            </w:r>
          </w:p>
        </w:tc>
        <w:tc>
          <w:tcPr>
            <w:tcW w:w="1143" w:type="dxa"/>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行业类型</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委托代理人</w:t>
            </w:r>
          </w:p>
        </w:tc>
        <w:tc>
          <w:tcPr>
            <w:tcW w:w="25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0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职务</w:t>
            </w:r>
          </w:p>
        </w:tc>
        <w:tc>
          <w:tcPr>
            <w:tcW w:w="1143" w:type="dxa"/>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邮政编码</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电话</w:t>
            </w:r>
          </w:p>
        </w:tc>
        <w:tc>
          <w:tcPr>
            <w:tcW w:w="25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0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传真</w:t>
            </w:r>
          </w:p>
        </w:tc>
        <w:tc>
          <w:tcPr>
            <w:tcW w:w="1143" w:type="dxa"/>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单位简历及机构</w:t>
            </w:r>
          </w:p>
        </w:tc>
        <w:tc>
          <w:tcPr>
            <w:tcW w:w="7796" w:type="dxa"/>
            <w:gridSpan w:val="10"/>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单位优势及特长</w:t>
            </w:r>
          </w:p>
        </w:tc>
        <w:tc>
          <w:tcPr>
            <w:tcW w:w="7796" w:type="dxa"/>
            <w:gridSpan w:val="10"/>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restart"/>
            <w:tcBorders>
              <w:top w:val="single" w:color="auto" w:sz="4" w:space="0"/>
              <w:left w:val="thinThickSmallGap" w:color="auto" w:sz="2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单位概况</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职工总数</w:t>
            </w:r>
          </w:p>
        </w:tc>
        <w:tc>
          <w:tcPr>
            <w:tcW w:w="299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80"/>
              <w:rPr>
                <w:color w:val="auto"/>
                <w:szCs w:val="21"/>
                <w:highlight w:val="none"/>
              </w:rPr>
            </w:pPr>
            <w:r>
              <w:rPr>
                <w:color w:val="auto"/>
                <w:szCs w:val="21"/>
                <w:highlight w:val="none"/>
              </w:rPr>
              <w:t xml:space="preserve">             </w:t>
            </w:r>
            <w:r>
              <w:rPr>
                <w:rFonts w:hint="eastAsia"/>
                <w:color w:val="auto"/>
                <w:szCs w:val="21"/>
                <w:highlight w:val="none"/>
              </w:rPr>
              <w:t>人</w:t>
            </w:r>
          </w:p>
        </w:tc>
        <w:tc>
          <w:tcPr>
            <w:tcW w:w="3522" w:type="dxa"/>
            <w:gridSpan w:val="5"/>
            <w:tcBorders>
              <w:top w:val="single" w:color="auto" w:sz="4" w:space="0"/>
              <w:left w:val="single" w:color="auto" w:sz="4" w:space="0"/>
              <w:bottom w:val="single" w:color="auto" w:sz="4" w:space="0"/>
              <w:right w:val="thickThinSmallGap" w:color="auto" w:sz="24" w:space="0"/>
            </w:tcBorders>
            <w:vAlign w:val="center"/>
          </w:tcPr>
          <w:p>
            <w:pPr>
              <w:spacing w:line="360" w:lineRule="auto"/>
              <w:rPr>
                <w:color w:val="auto"/>
                <w:szCs w:val="21"/>
                <w:highlight w:val="none"/>
              </w:rPr>
            </w:pPr>
            <w:r>
              <w:rPr>
                <w:rFonts w:hint="eastAsia"/>
                <w:color w:val="auto"/>
                <w:szCs w:val="21"/>
                <w:highlight w:val="none"/>
              </w:rPr>
              <w:t>服务人员</w:t>
            </w:r>
            <w:r>
              <w:rPr>
                <w:color w:val="auto"/>
                <w:szCs w:val="21"/>
                <w:highlight w:val="none"/>
              </w:rPr>
              <w:t xml:space="preserve">            </w:t>
            </w:r>
            <w:r>
              <w:rPr>
                <w:rFonts w:hint="eastAsia"/>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single" w:color="auto" w:sz="4" w:space="0"/>
              <w:right w:val="single" w:color="auto" w:sz="4" w:space="0"/>
            </w:tcBorders>
            <w:vAlign w:val="center"/>
          </w:tcPr>
          <w:p>
            <w:pPr>
              <w:widowControl/>
              <w:jc w:val="left"/>
              <w:rPr>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29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3522" w:type="dxa"/>
            <w:gridSpan w:val="5"/>
            <w:tcBorders>
              <w:top w:val="single" w:color="auto" w:sz="4" w:space="0"/>
              <w:left w:val="single" w:color="auto" w:sz="4" w:space="0"/>
              <w:bottom w:val="single" w:color="auto" w:sz="4" w:space="0"/>
              <w:right w:val="thickThinSmallGap" w:color="auto" w:sz="24" w:space="0"/>
            </w:tcBorders>
            <w:vAlign w:val="center"/>
          </w:tcPr>
          <w:p>
            <w:pPr>
              <w:spacing w:line="360" w:lineRule="auto"/>
              <w:rPr>
                <w:color w:val="auto"/>
                <w:szCs w:val="21"/>
                <w:highlight w:val="none"/>
              </w:rPr>
            </w:pPr>
            <w:r>
              <w:rPr>
                <w:rFonts w:hint="eastAsia"/>
                <w:color w:val="auto"/>
                <w:szCs w:val="21"/>
                <w:highlight w:val="none"/>
              </w:rPr>
              <w:t>工程技术人员</w:t>
            </w:r>
            <w:r>
              <w:rPr>
                <w:color w:val="auto"/>
                <w:szCs w:val="21"/>
                <w:highlight w:val="none"/>
              </w:rPr>
              <w:t xml:space="preserve">        </w:t>
            </w:r>
            <w:r>
              <w:rPr>
                <w:rFonts w:hint="eastAsia"/>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single" w:color="auto" w:sz="4" w:space="0"/>
              <w:right w:val="single" w:color="auto" w:sz="4" w:space="0"/>
            </w:tcBorders>
            <w:vAlign w:val="center"/>
          </w:tcPr>
          <w:p>
            <w:pPr>
              <w:widowControl/>
              <w:jc w:val="left"/>
              <w:rPr>
                <w:color w:val="auto"/>
                <w:szCs w:val="21"/>
                <w:highlight w:val="none"/>
              </w:rPr>
            </w:pP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流动资金</w:t>
            </w:r>
          </w:p>
        </w:tc>
        <w:tc>
          <w:tcPr>
            <w:tcW w:w="299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80"/>
              <w:rPr>
                <w:color w:val="auto"/>
                <w:szCs w:val="21"/>
                <w:highlight w:val="none"/>
              </w:rPr>
            </w:pPr>
            <w:r>
              <w:rPr>
                <w:color w:val="auto"/>
                <w:szCs w:val="21"/>
                <w:highlight w:val="none"/>
              </w:rPr>
              <w:t xml:space="preserve">           </w:t>
            </w:r>
            <w:r>
              <w:rPr>
                <w:rFonts w:hint="eastAsia"/>
                <w:color w:val="auto"/>
                <w:szCs w:val="21"/>
                <w:highlight w:val="none"/>
              </w:rPr>
              <w:t>万元</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资金来源</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自由资金</w:t>
            </w:r>
          </w:p>
        </w:tc>
        <w:tc>
          <w:tcPr>
            <w:tcW w:w="1562" w:type="dxa"/>
            <w:gridSpan w:val="2"/>
            <w:tcBorders>
              <w:top w:val="single" w:color="auto" w:sz="4" w:space="0"/>
              <w:left w:val="single" w:color="auto" w:sz="4" w:space="0"/>
              <w:bottom w:val="single" w:color="auto" w:sz="4" w:space="0"/>
              <w:right w:val="thickThinSmallGap" w:color="auto" w:sz="24" w:space="0"/>
            </w:tcBorders>
            <w:vAlign w:val="center"/>
          </w:tcPr>
          <w:p>
            <w:pPr>
              <w:spacing w:line="360" w:lineRule="auto"/>
              <w:ind w:firstLine="630" w:firstLineChars="300"/>
              <w:rPr>
                <w:color w:val="auto"/>
                <w:szCs w:val="21"/>
                <w:highlight w:val="none"/>
              </w:rPr>
            </w:pP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single" w:color="auto" w:sz="4" w:space="0"/>
              <w:right w:val="single" w:color="auto" w:sz="4" w:space="0"/>
            </w:tcBorders>
            <w:vAlign w:val="center"/>
          </w:tcPr>
          <w:p>
            <w:pPr>
              <w:widowControl/>
              <w:jc w:val="left"/>
              <w:rPr>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29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银行贷款</w:t>
            </w:r>
          </w:p>
        </w:tc>
        <w:tc>
          <w:tcPr>
            <w:tcW w:w="1562" w:type="dxa"/>
            <w:gridSpan w:val="2"/>
            <w:tcBorders>
              <w:top w:val="single" w:color="auto" w:sz="4" w:space="0"/>
              <w:left w:val="single" w:color="auto" w:sz="4" w:space="0"/>
              <w:bottom w:val="single" w:color="auto" w:sz="4" w:space="0"/>
              <w:right w:val="thickThinSmallGap" w:color="auto" w:sz="24" w:space="0"/>
            </w:tcBorders>
            <w:vAlign w:val="center"/>
          </w:tcPr>
          <w:p>
            <w:pPr>
              <w:spacing w:line="360" w:lineRule="auto"/>
              <w:ind w:firstLine="630" w:firstLineChars="300"/>
              <w:rPr>
                <w:color w:val="auto"/>
                <w:szCs w:val="21"/>
                <w:highlight w:val="none"/>
              </w:rPr>
            </w:pP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single" w:color="auto" w:sz="4" w:space="0"/>
              <w:right w:val="single" w:color="auto" w:sz="4" w:space="0"/>
            </w:tcBorders>
            <w:vAlign w:val="center"/>
          </w:tcPr>
          <w:p>
            <w:pPr>
              <w:widowControl/>
              <w:jc w:val="left"/>
              <w:rPr>
                <w:color w:val="auto"/>
                <w:szCs w:val="21"/>
                <w:highlight w:val="none"/>
              </w:rPr>
            </w:pP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固定资产</w:t>
            </w:r>
          </w:p>
        </w:tc>
        <w:tc>
          <w:tcPr>
            <w:tcW w:w="29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原值</w:t>
            </w:r>
            <w:r>
              <w:rPr>
                <w:color w:val="auto"/>
                <w:szCs w:val="21"/>
                <w:highlight w:val="none"/>
              </w:rPr>
              <w:t xml:space="preserve">           </w:t>
            </w:r>
            <w:r>
              <w:rPr>
                <w:rFonts w:hint="eastAsia"/>
                <w:color w:val="auto"/>
                <w:szCs w:val="21"/>
                <w:highlight w:val="none"/>
              </w:rPr>
              <w:t>万元</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资金性质</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生产性</w:t>
            </w:r>
          </w:p>
        </w:tc>
        <w:tc>
          <w:tcPr>
            <w:tcW w:w="1562" w:type="dxa"/>
            <w:gridSpan w:val="2"/>
            <w:tcBorders>
              <w:top w:val="single" w:color="auto" w:sz="4" w:space="0"/>
              <w:left w:val="single" w:color="auto" w:sz="4" w:space="0"/>
              <w:bottom w:val="single" w:color="auto" w:sz="4" w:space="0"/>
              <w:right w:val="thickThinSmallGap" w:color="auto" w:sz="24" w:space="0"/>
            </w:tcBorders>
            <w:vAlign w:val="center"/>
          </w:tcPr>
          <w:p>
            <w:pPr>
              <w:spacing w:line="360" w:lineRule="auto"/>
              <w:ind w:firstLine="480"/>
              <w:rPr>
                <w:color w:val="auto"/>
                <w:szCs w:val="21"/>
                <w:highlight w:val="none"/>
              </w:rPr>
            </w:pPr>
            <w:r>
              <w:rPr>
                <w:color w:val="auto"/>
                <w:szCs w:val="21"/>
                <w:highlight w:val="none"/>
              </w:rPr>
              <w:t xml:space="preserve">  </w:t>
            </w: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single" w:color="auto" w:sz="4" w:space="0"/>
              <w:right w:val="single" w:color="auto" w:sz="4" w:space="0"/>
            </w:tcBorders>
            <w:vAlign w:val="center"/>
          </w:tcPr>
          <w:p>
            <w:pPr>
              <w:widowControl/>
              <w:jc w:val="left"/>
              <w:rPr>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299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净值</w:t>
            </w:r>
            <w:r>
              <w:rPr>
                <w:color w:val="auto"/>
                <w:szCs w:val="21"/>
                <w:highlight w:val="none"/>
              </w:rPr>
              <w:t xml:space="preserve">           </w:t>
            </w:r>
            <w:r>
              <w:rPr>
                <w:rFonts w:hint="eastAsia"/>
                <w:color w:val="auto"/>
                <w:szCs w:val="21"/>
                <w:highlight w:val="none"/>
              </w:rPr>
              <w:t>万元</w:t>
            </w: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非生产性</w:t>
            </w:r>
          </w:p>
        </w:tc>
        <w:tc>
          <w:tcPr>
            <w:tcW w:w="1562" w:type="dxa"/>
            <w:gridSpan w:val="2"/>
            <w:tcBorders>
              <w:top w:val="single" w:color="auto" w:sz="4" w:space="0"/>
              <w:left w:val="single" w:color="auto" w:sz="4" w:space="0"/>
              <w:bottom w:val="single" w:color="auto" w:sz="4" w:space="0"/>
              <w:right w:val="thickThinSmallGap" w:color="auto" w:sz="24" w:space="0"/>
            </w:tcBorders>
            <w:vAlign w:val="center"/>
          </w:tcPr>
          <w:p>
            <w:pPr>
              <w:spacing w:line="360" w:lineRule="auto"/>
              <w:ind w:firstLine="480"/>
              <w:rPr>
                <w:color w:val="auto"/>
                <w:szCs w:val="21"/>
                <w:highlight w:val="none"/>
              </w:rPr>
            </w:pPr>
            <w:r>
              <w:rPr>
                <w:color w:val="auto"/>
                <w:szCs w:val="21"/>
                <w:highlight w:val="none"/>
              </w:rPr>
              <w:t xml:space="preserve">  </w:t>
            </w: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restart"/>
            <w:tcBorders>
              <w:top w:val="single" w:color="auto" w:sz="4" w:space="0"/>
              <w:left w:val="thinThickSmallGap" w:color="auto" w:sz="24" w:space="0"/>
              <w:bottom w:val="nil"/>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企业财务状况</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年度</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收入总额</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利润总额</w:t>
            </w:r>
          </w:p>
        </w:tc>
        <w:tc>
          <w:tcPr>
            <w:tcW w:w="19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税后利润</w:t>
            </w:r>
          </w:p>
        </w:tc>
        <w:tc>
          <w:tcPr>
            <w:tcW w:w="1562" w:type="dxa"/>
            <w:gridSpan w:val="2"/>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color w:val="auto"/>
                <w:szCs w:val="21"/>
                <w:highlight w:val="none"/>
              </w:rPr>
            </w:pPr>
            <w:r>
              <w:rPr>
                <w:rFonts w:hint="eastAsia"/>
                <w:color w:val="auto"/>
                <w:szCs w:val="21"/>
                <w:highlight w:val="none"/>
              </w:rPr>
              <w:t>负债总额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999" w:type="dxa"/>
            <w:vMerge w:val="continue"/>
            <w:tcBorders>
              <w:top w:val="single" w:color="auto" w:sz="4" w:space="0"/>
              <w:left w:val="thinThickSmallGap" w:color="auto" w:sz="24" w:space="0"/>
              <w:bottom w:val="nil"/>
              <w:right w:val="single" w:color="auto" w:sz="4" w:space="0"/>
            </w:tcBorders>
            <w:vAlign w:val="center"/>
          </w:tcPr>
          <w:p>
            <w:pPr>
              <w:widowControl/>
              <w:jc w:val="left"/>
              <w:rPr>
                <w:color w:val="auto"/>
                <w:szCs w:val="21"/>
                <w:highlight w:val="none"/>
              </w:rPr>
            </w:pPr>
          </w:p>
        </w:tc>
        <w:tc>
          <w:tcPr>
            <w:tcW w:w="1284" w:type="dxa"/>
            <w:tcBorders>
              <w:top w:val="single" w:color="auto" w:sz="4" w:space="0"/>
              <w:left w:val="single" w:color="auto" w:sz="4" w:space="0"/>
              <w:bottom w:val="nil"/>
              <w:right w:val="single" w:color="auto" w:sz="4" w:space="0"/>
            </w:tcBorders>
            <w:vAlign w:val="center"/>
          </w:tcPr>
          <w:p>
            <w:pPr>
              <w:spacing w:line="360" w:lineRule="auto"/>
              <w:rPr>
                <w:color w:val="auto"/>
                <w:szCs w:val="21"/>
                <w:highlight w:val="none"/>
              </w:rPr>
            </w:pPr>
          </w:p>
        </w:tc>
        <w:tc>
          <w:tcPr>
            <w:tcW w:w="1397" w:type="dxa"/>
            <w:gridSpan w:val="2"/>
            <w:tcBorders>
              <w:top w:val="single" w:color="auto" w:sz="4" w:space="0"/>
              <w:left w:val="single" w:color="auto" w:sz="4" w:space="0"/>
              <w:bottom w:val="nil"/>
              <w:right w:val="single" w:color="auto" w:sz="4" w:space="0"/>
            </w:tcBorders>
            <w:vAlign w:val="center"/>
          </w:tcPr>
          <w:p>
            <w:pPr>
              <w:spacing w:line="360" w:lineRule="auto"/>
              <w:ind w:left="410" w:firstLine="480"/>
              <w:rPr>
                <w:color w:val="auto"/>
                <w:szCs w:val="21"/>
                <w:highlight w:val="none"/>
              </w:rPr>
            </w:pPr>
          </w:p>
        </w:tc>
        <w:tc>
          <w:tcPr>
            <w:tcW w:w="1593" w:type="dxa"/>
            <w:gridSpan w:val="2"/>
            <w:tcBorders>
              <w:top w:val="single" w:color="auto" w:sz="4" w:space="0"/>
              <w:left w:val="single" w:color="auto" w:sz="4" w:space="0"/>
              <w:bottom w:val="nil"/>
              <w:right w:val="single" w:color="auto" w:sz="4" w:space="0"/>
            </w:tcBorders>
            <w:vAlign w:val="center"/>
          </w:tcPr>
          <w:p>
            <w:pPr>
              <w:spacing w:line="360" w:lineRule="auto"/>
              <w:ind w:left="410" w:firstLine="480"/>
              <w:rPr>
                <w:color w:val="auto"/>
                <w:szCs w:val="21"/>
                <w:highlight w:val="none"/>
              </w:rPr>
            </w:pPr>
          </w:p>
        </w:tc>
        <w:tc>
          <w:tcPr>
            <w:tcW w:w="1960" w:type="dxa"/>
            <w:gridSpan w:val="3"/>
            <w:tcBorders>
              <w:top w:val="single" w:color="auto" w:sz="4" w:space="0"/>
              <w:left w:val="single" w:color="auto" w:sz="4" w:space="0"/>
              <w:bottom w:val="nil"/>
              <w:right w:val="single" w:color="auto" w:sz="4" w:space="0"/>
            </w:tcBorders>
            <w:vAlign w:val="center"/>
          </w:tcPr>
          <w:p>
            <w:pPr>
              <w:spacing w:line="360" w:lineRule="auto"/>
              <w:ind w:left="410" w:firstLine="480"/>
              <w:rPr>
                <w:color w:val="auto"/>
                <w:szCs w:val="21"/>
                <w:highlight w:val="none"/>
              </w:rPr>
            </w:pPr>
          </w:p>
        </w:tc>
        <w:tc>
          <w:tcPr>
            <w:tcW w:w="1562" w:type="dxa"/>
            <w:gridSpan w:val="2"/>
            <w:tcBorders>
              <w:top w:val="single" w:color="auto" w:sz="4" w:space="0"/>
              <w:left w:val="single" w:color="auto" w:sz="4" w:space="0"/>
              <w:bottom w:val="nil"/>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restart"/>
            <w:tcBorders>
              <w:top w:val="single" w:color="auto" w:sz="4" w:space="0"/>
              <w:left w:val="thinThickSmallGap" w:color="auto" w:sz="24" w:space="0"/>
              <w:bottom w:val="thickThinSmallGap" w:color="auto" w:sz="2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主要业绩情况</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业绩名称</w:t>
            </w: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类型</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金额（万元）</w:t>
            </w:r>
          </w:p>
        </w:tc>
        <w:tc>
          <w:tcPr>
            <w:tcW w:w="3522" w:type="dxa"/>
            <w:gridSpan w:val="5"/>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thickThinSmallGap" w:color="auto" w:sz="24" w:space="0"/>
              <w:right w:val="single" w:color="auto" w:sz="4" w:space="0"/>
            </w:tcBorders>
            <w:vAlign w:val="center"/>
          </w:tcPr>
          <w:p>
            <w:pPr>
              <w:widowControl/>
              <w:jc w:val="left"/>
              <w:rPr>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3522" w:type="dxa"/>
            <w:gridSpan w:val="5"/>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thickThinSmallGap" w:color="auto" w:sz="24" w:space="0"/>
              <w:right w:val="single" w:color="auto" w:sz="4" w:space="0"/>
            </w:tcBorders>
            <w:vAlign w:val="center"/>
          </w:tcPr>
          <w:p>
            <w:pPr>
              <w:widowControl/>
              <w:jc w:val="left"/>
              <w:rPr>
                <w:color w:val="auto"/>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3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15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10" w:firstLine="480"/>
              <w:rPr>
                <w:color w:val="auto"/>
                <w:szCs w:val="21"/>
                <w:highlight w:val="none"/>
              </w:rPr>
            </w:pPr>
          </w:p>
        </w:tc>
        <w:tc>
          <w:tcPr>
            <w:tcW w:w="3522" w:type="dxa"/>
            <w:gridSpan w:val="5"/>
            <w:tcBorders>
              <w:top w:val="single" w:color="auto" w:sz="4" w:space="0"/>
              <w:left w:val="single" w:color="auto" w:sz="4" w:space="0"/>
              <w:bottom w:val="single" w:color="auto" w:sz="4" w:space="0"/>
              <w:right w:val="thickThinSmallGap" w:color="auto" w:sz="24" w:space="0"/>
            </w:tcBorders>
            <w:vAlign w:val="center"/>
          </w:tcPr>
          <w:p>
            <w:pPr>
              <w:spacing w:line="360" w:lineRule="auto"/>
              <w:ind w:left="410" w:firstLine="48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99" w:type="dxa"/>
            <w:vMerge w:val="continue"/>
            <w:tcBorders>
              <w:top w:val="single" w:color="auto" w:sz="4" w:space="0"/>
              <w:left w:val="thinThickSmallGap" w:color="auto" w:sz="24" w:space="0"/>
              <w:bottom w:val="thickThinSmallGap" w:color="auto" w:sz="24" w:space="0"/>
              <w:right w:val="single" w:color="auto" w:sz="4" w:space="0"/>
            </w:tcBorders>
            <w:vAlign w:val="center"/>
          </w:tcPr>
          <w:p>
            <w:pPr>
              <w:widowControl/>
              <w:jc w:val="left"/>
              <w:rPr>
                <w:color w:val="auto"/>
                <w:szCs w:val="21"/>
                <w:highlight w:val="none"/>
              </w:rPr>
            </w:pPr>
          </w:p>
        </w:tc>
        <w:tc>
          <w:tcPr>
            <w:tcW w:w="1284" w:type="dxa"/>
            <w:tcBorders>
              <w:top w:val="single" w:color="auto" w:sz="4" w:space="0"/>
              <w:left w:val="single" w:color="auto" w:sz="4" w:space="0"/>
              <w:bottom w:val="thickThinSmallGap" w:color="auto" w:sz="24" w:space="0"/>
              <w:right w:val="single" w:color="auto" w:sz="4" w:space="0"/>
            </w:tcBorders>
            <w:vAlign w:val="center"/>
          </w:tcPr>
          <w:p>
            <w:pPr>
              <w:spacing w:line="360" w:lineRule="auto"/>
              <w:ind w:left="410" w:firstLine="480"/>
              <w:rPr>
                <w:color w:val="auto"/>
                <w:szCs w:val="21"/>
                <w:highlight w:val="none"/>
              </w:rPr>
            </w:pPr>
          </w:p>
        </w:tc>
        <w:tc>
          <w:tcPr>
            <w:tcW w:w="1397" w:type="dxa"/>
            <w:gridSpan w:val="2"/>
            <w:tcBorders>
              <w:top w:val="single" w:color="auto" w:sz="4" w:space="0"/>
              <w:left w:val="single" w:color="auto" w:sz="4" w:space="0"/>
              <w:bottom w:val="thickThinSmallGap" w:color="auto" w:sz="24" w:space="0"/>
              <w:right w:val="single" w:color="auto" w:sz="4" w:space="0"/>
            </w:tcBorders>
            <w:vAlign w:val="center"/>
          </w:tcPr>
          <w:p>
            <w:pPr>
              <w:spacing w:line="360" w:lineRule="auto"/>
              <w:ind w:left="410" w:firstLine="480"/>
              <w:rPr>
                <w:color w:val="auto"/>
                <w:szCs w:val="21"/>
                <w:highlight w:val="none"/>
              </w:rPr>
            </w:pPr>
          </w:p>
        </w:tc>
        <w:tc>
          <w:tcPr>
            <w:tcW w:w="1593" w:type="dxa"/>
            <w:gridSpan w:val="2"/>
            <w:tcBorders>
              <w:top w:val="single" w:color="auto" w:sz="4" w:space="0"/>
              <w:left w:val="single" w:color="auto" w:sz="4" w:space="0"/>
              <w:bottom w:val="thickThinSmallGap" w:color="auto" w:sz="24" w:space="0"/>
              <w:right w:val="single" w:color="auto" w:sz="4" w:space="0"/>
            </w:tcBorders>
            <w:vAlign w:val="center"/>
          </w:tcPr>
          <w:p>
            <w:pPr>
              <w:spacing w:line="360" w:lineRule="auto"/>
              <w:ind w:left="410" w:firstLine="480"/>
              <w:rPr>
                <w:color w:val="auto"/>
                <w:szCs w:val="21"/>
                <w:highlight w:val="none"/>
              </w:rPr>
            </w:pPr>
          </w:p>
        </w:tc>
        <w:tc>
          <w:tcPr>
            <w:tcW w:w="3522" w:type="dxa"/>
            <w:gridSpan w:val="5"/>
            <w:tcBorders>
              <w:top w:val="single" w:color="auto" w:sz="4" w:space="0"/>
              <w:left w:val="single" w:color="auto" w:sz="4" w:space="0"/>
              <w:bottom w:val="thickThinSmallGap" w:color="auto" w:sz="24" w:space="0"/>
              <w:right w:val="thickThinSmallGap" w:color="auto" w:sz="24" w:space="0"/>
            </w:tcBorders>
            <w:vAlign w:val="center"/>
          </w:tcPr>
          <w:p>
            <w:pPr>
              <w:spacing w:line="360" w:lineRule="auto"/>
              <w:ind w:left="410" w:firstLine="480"/>
              <w:rPr>
                <w:color w:val="auto"/>
                <w:szCs w:val="21"/>
                <w:highlight w:val="none"/>
              </w:rPr>
            </w:pPr>
          </w:p>
        </w:tc>
      </w:tr>
    </w:tbl>
    <w:p>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注：后附加盖公章的营业执照复印件（供应商有效的三证合一后的营业执照副本内页复印件加盖公章：要求清晰反映企业法人年检情况记录和经营范围。）、相关资质证书（如有，复印件）。</w:t>
      </w:r>
    </w:p>
    <w:p>
      <w:pPr>
        <w:spacing w:line="360" w:lineRule="auto"/>
        <w:rPr>
          <w:rFonts w:ascii="宋体" w:hAnsi="宋体" w:cs="新宋体-18030"/>
          <w:color w:val="auto"/>
          <w:kern w:val="0"/>
          <w:szCs w:val="21"/>
          <w:highlight w:val="none"/>
        </w:rPr>
      </w:pPr>
      <w:r>
        <w:rPr>
          <w:rFonts w:hint="eastAsia" w:ascii="宋体" w:hAnsi="宋体" w:cs="新宋体-18030"/>
          <w:color w:val="auto"/>
          <w:kern w:val="0"/>
          <w:szCs w:val="21"/>
          <w:highlight w:val="none"/>
        </w:rPr>
        <w:t>供应商：</w:t>
      </w:r>
      <w:r>
        <w:rPr>
          <w:rFonts w:ascii="宋体" w:hAnsi="宋体" w:cs="新宋体-18030"/>
          <w:color w:val="auto"/>
          <w:kern w:val="0"/>
          <w:szCs w:val="21"/>
          <w:highlight w:val="none"/>
        </w:rPr>
        <w:t xml:space="preserve"> </w:t>
      </w:r>
      <w:r>
        <w:rPr>
          <w:rFonts w:hint="eastAsia" w:ascii="宋体" w:hAnsi="宋体" w:cs="新宋体-18030"/>
          <w:color w:val="auto"/>
          <w:kern w:val="0"/>
          <w:szCs w:val="21"/>
          <w:highlight w:val="none"/>
        </w:rPr>
        <w:t>（盖章）</w:t>
      </w: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r>
        <w:rPr>
          <w:rFonts w:hint="eastAsia" w:ascii="宋体" w:hAnsi="宋体" w:cs="新宋体-18030"/>
          <w:color w:val="auto"/>
          <w:kern w:val="0"/>
          <w:szCs w:val="21"/>
          <w:highlight w:val="none"/>
        </w:rPr>
        <w:t>法人代表人或其授权代表人：</w:t>
      </w:r>
      <w:r>
        <w:rPr>
          <w:rFonts w:ascii="宋体" w:hAnsi="宋体" w:cs="新宋体-18030"/>
          <w:color w:val="auto"/>
          <w:kern w:val="0"/>
          <w:szCs w:val="21"/>
          <w:highlight w:val="none"/>
        </w:rPr>
        <w:t xml:space="preserve"> </w:t>
      </w:r>
      <w:r>
        <w:rPr>
          <w:rFonts w:hint="eastAsia" w:ascii="宋体" w:hAnsi="宋体" w:cs="新宋体-18030"/>
          <w:color w:val="auto"/>
          <w:kern w:val="0"/>
          <w:szCs w:val="21"/>
          <w:highlight w:val="none"/>
        </w:rPr>
        <w:t>（签字或盖章）</w:t>
      </w: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r>
        <w:rPr>
          <w:rFonts w:hint="eastAsia" w:ascii="宋体" w:hAnsi="宋体" w:cs="新宋体-18030"/>
          <w:color w:val="auto"/>
          <w:kern w:val="0"/>
          <w:szCs w:val="21"/>
          <w:highlight w:val="none"/>
        </w:rPr>
        <w:t>日期：</w:t>
      </w:r>
    </w:p>
    <w:p>
      <w:pPr>
        <w:autoSpaceDE w:val="0"/>
        <w:autoSpaceDN w:val="0"/>
        <w:adjustRightInd w:val="0"/>
        <w:spacing w:line="360" w:lineRule="auto"/>
        <w:jc w:val="left"/>
        <w:rPr>
          <w:rFonts w:hint="eastAsia" w:ascii="宋体" w:hAnsi="宋体" w:cs="Courier New"/>
          <w:b/>
          <w:color w:val="auto"/>
          <w:sz w:val="28"/>
          <w:szCs w:val="28"/>
          <w:highlight w:val="none"/>
        </w:rPr>
      </w:pPr>
    </w:p>
    <w:p>
      <w:pPr>
        <w:autoSpaceDE w:val="0"/>
        <w:autoSpaceDN w:val="0"/>
        <w:adjustRightInd w:val="0"/>
        <w:spacing w:line="360" w:lineRule="auto"/>
        <w:jc w:val="left"/>
        <w:rPr>
          <w:rFonts w:ascii="宋体" w:hAnsi="宋体" w:cs="Courier New"/>
          <w:b/>
          <w:color w:val="auto"/>
          <w:sz w:val="28"/>
          <w:szCs w:val="28"/>
          <w:highlight w:val="none"/>
        </w:rPr>
      </w:pPr>
      <w:r>
        <w:rPr>
          <w:rFonts w:hint="eastAsia" w:ascii="宋体" w:hAnsi="宋体" w:cs="Courier New"/>
          <w:b/>
          <w:color w:val="auto"/>
          <w:sz w:val="28"/>
          <w:szCs w:val="28"/>
          <w:highlight w:val="none"/>
        </w:rPr>
        <w:t>格式</w:t>
      </w:r>
      <w:r>
        <w:rPr>
          <w:rFonts w:ascii="宋体" w:hAnsi="宋体" w:cs="Courier New"/>
          <w:b/>
          <w:color w:val="auto"/>
          <w:sz w:val="28"/>
          <w:szCs w:val="28"/>
          <w:highlight w:val="none"/>
        </w:rPr>
        <w:t>1-2</w:t>
      </w:r>
      <w:r>
        <w:rPr>
          <w:rFonts w:hint="eastAsia" w:ascii="宋体" w:hAnsi="宋体" w:cs="Courier New"/>
          <w:b/>
          <w:color w:val="auto"/>
          <w:sz w:val="28"/>
          <w:szCs w:val="28"/>
          <w:highlight w:val="none"/>
        </w:rPr>
        <w:t>：</w:t>
      </w:r>
    </w:p>
    <w:p>
      <w:pPr>
        <w:keepNext/>
        <w:keepLines/>
        <w:spacing w:before="120" w:after="120" w:line="360" w:lineRule="auto"/>
        <w:ind w:left="851"/>
        <w:jc w:val="center"/>
        <w:outlineLvl w:val="2"/>
        <w:rPr>
          <w:rFonts w:ascii="宋体" w:hAnsi="宋体"/>
          <w:b/>
          <w:bCs/>
          <w:color w:val="auto"/>
          <w:kern w:val="0"/>
          <w:sz w:val="32"/>
          <w:szCs w:val="32"/>
          <w:highlight w:val="none"/>
        </w:rPr>
      </w:pPr>
      <w:r>
        <w:rPr>
          <w:rFonts w:hint="eastAsia" w:ascii="宋体" w:hAnsi="宋体"/>
          <w:b/>
          <w:bCs/>
          <w:color w:val="auto"/>
          <w:kern w:val="0"/>
          <w:sz w:val="32"/>
          <w:szCs w:val="32"/>
          <w:highlight w:val="none"/>
        </w:rPr>
        <w:t>法定代表人身份证明书</w:t>
      </w:r>
    </w:p>
    <w:p>
      <w:pPr>
        <w:spacing w:line="360" w:lineRule="auto"/>
        <w:jc w:val="center"/>
        <w:rPr>
          <w:rFonts w:ascii="宋体" w:hAnsi="宋体"/>
          <w:b/>
          <w:color w:val="auto"/>
          <w:sz w:val="30"/>
          <w:szCs w:val="30"/>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r>
        <w:rPr>
          <w:rFonts w:hint="eastAsia"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（供应商名称）的法定代表人。</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b/>
          <w:bCs/>
          <w:color w:val="auto"/>
          <w:sz w:val="24"/>
          <w:highlight w:val="none"/>
        </w:rPr>
      </w:pPr>
    </w:p>
    <w:p>
      <w:pPr>
        <w:spacing w:line="360" w:lineRule="auto"/>
        <w:rPr>
          <w:rFonts w:ascii="宋体" w:hAnsi="宋体"/>
          <w:color w:val="auto"/>
          <w:szCs w:val="21"/>
          <w:highlight w:val="none"/>
        </w:rPr>
      </w:pPr>
      <w:r>
        <w:rPr>
          <w:rFonts w:hint="eastAsia" w:ascii="宋体" w:hAnsi="宋体"/>
          <w:b/>
          <w:bCs/>
          <w:color w:val="auto"/>
          <w:szCs w:val="21"/>
          <w:highlight w:val="none"/>
        </w:rPr>
        <w:t>注</w:t>
      </w:r>
      <w:r>
        <w:rPr>
          <w:rFonts w:ascii="宋体" w:hAnsi="宋体"/>
          <w:b/>
          <w:bCs/>
          <w:color w:val="auto"/>
          <w:szCs w:val="21"/>
          <w:highlight w:val="none"/>
        </w:rPr>
        <w:t>:</w:t>
      </w:r>
      <w:r>
        <w:rPr>
          <w:rFonts w:hint="eastAsia" w:ascii="宋体" w:hAnsi="宋体"/>
          <w:b/>
          <w:bCs/>
          <w:color w:val="auto"/>
          <w:szCs w:val="21"/>
          <w:highlight w:val="none"/>
        </w:rPr>
        <w:t>后附法定代表人身份证复印件。</w:t>
      </w:r>
    </w:p>
    <w:p>
      <w:pPr>
        <w:spacing w:line="360" w:lineRule="auto"/>
        <w:rPr>
          <w:rFonts w:ascii="宋体" w:hAnsi="宋体"/>
          <w:color w:val="auto"/>
          <w:szCs w:val="21"/>
          <w:highlight w:val="none"/>
        </w:rPr>
      </w:pPr>
    </w:p>
    <w:p>
      <w:pPr>
        <w:spacing w:line="360" w:lineRule="auto"/>
        <w:ind w:left="3780" w:leftChars="1800"/>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left="3780" w:leftChars="18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autoSpaceDE w:val="0"/>
        <w:autoSpaceDN w:val="0"/>
        <w:adjustRightInd w:val="0"/>
        <w:spacing w:line="360" w:lineRule="auto"/>
        <w:jc w:val="left"/>
        <w:rPr>
          <w:rFonts w:ascii="宋体" w:hAnsi="宋体" w:cs="Courier New"/>
          <w:b/>
          <w:color w:val="auto"/>
          <w:sz w:val="28"/>
          <w:szCs w:val="28"/>
          <w:highlight w:val="none"/>
        </w:rPr>
      </w:pPr>
      <w:r>
        <w:rPr>
          <w:rFonts w:ascii="宋体" w:hAnsi="宋体" w:cs="Courier New"/>
          <w:b/>
          <w:color w:val="auto"/>
          <w:szCs w:val="21"/>
          <w:highlight w:val="none"/>
        </w:rPr>
        <w:br w:type="page"/>
      </w:r>
      <w:r>
        <w:rPr>
          <w:rFonts w:hint="eastAsia" w:ascii="宋体" w:hAnsi="宋体" w:cs="Courier New"/>
          <w:b/>
          <w:color w:val="auto"/>
          <w:sz w:val="28"/>
          <w:szCs w:val="28"/>
          <w:highlight w:val="none"/>
        </w:rPr>
        <w:t>格式</w:t>
      </w:r>
      <w:r>
        <w:rPr>
          <w:rFonts w:ascii="宋体" w:hAnsi="宋体" w:cs="Courier New"/>
          <w:b/>
          <w:color w:val="auto"/>
          <w:sz w:val="28"/>
          <w:szCs w:val="28"/>
          <w:highlight w:val="none"/>
        </w:rPr>
        <w:t>1-3</w:t>
      </w:r>
      <w:r>
        <w:rPr>
          <w:rFonts w:hint="eastAsia" w:ascii="宋体" w:hAnsi="宋体" w:cs="Courier New"/>
          <w:b/>
          <w:color w:val="auto"/>
          <w:sz w:val="28"/>
          <w:szCs w:val="28"/>
          <w:highlight w:val="none"/>
        </w:rPr>
        <w:t>：</w:t>
      </w:r>
    </w:p>
    <w:p>
      <w:pPr>
        <w:keepNext/>
        <w:keepLines/>
        <w:spacing w:before="120" w:after="120" w:line="360" w:lineRule="auto"/>
        <w:ind w:left="851"/>
        <w:jc w:val="center"/>
        <w:outlineLvl w:val="2"/>
        <w:rPr>
          <w:rFonts w:ascii="宋体" w:hAnsi="宋体"/>
          <w:b/>
          <w:bCs/>
          <w:color w:val="auto"/>
          <w:kern w:val="0"/>
          <w:sz w:val="32"/>
          <w:szCs w:val="32"/>
          <w:highlight w:val="none"/>
        </w:rPr>
      </w:pPr>
      <w:r>
        <w:rPr>
          <w:rFonts w:hint="eastAsia" w:ascii="宋体" w:hAnsi="宋体"/>
          <w:b/>
          <w:bCs/>
          <w:color w:val="auto"/>
          <w:kern w:val="0"/>
          <w:sz w:val="32"/>
          <w:szCs w:val="32"/>
          <w:highlight w:val="none"/>
        </w:rPr>
        <w:t>法定代表人授权委托书</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本授权书声明：</w:t>
      </w:r>
      <w:r>
        <w:rPr>
          <w:rFonts w:ascii="宋体" w:hAnsi="宋体"/>
          <w:color w:val="auto"/>
          <w:szCs w:val="21"/>
          <w:highlight w:val="none"/>
          <w:u w:val="single"/>
        </w:rPr>
        <w:t xml:space="preserve">       </w:t>
      </w:r>
      <w:r>
        <w:rPr>
          <w:rFonts w:hint="eastAsia" w:ascii="宋体" w:hAnsi="宋体"/>
          <w:color w:val="auto"/>
          <w:szCs w:val="21"/>
          <w:highlight w:val="none"/>
          <w:u w:val="single"/>
        </w:rPr>
        <w:t>（供应商全称）</w:t>
      </w:r>
      <w:r>
        <w:rPr>
          <w:rFonts w:ascii="宋体" w:hAnsi="宋体"/>
          <w:color w:val="auto"/>
          <w:szCs w:val="21"/>
          <w:highlight w:val="none"/>
          <w:u w:val="single"/>
        </w:rPr>
        <w:t xml:space="preserve">     </w:t>
      </w:r>
      <w:r>
        <w:rPr>
          <w:rFonts w:hint="eastAsia" w:ascii="宋体" w:hAnsi="宋体"/>
          <w:color w:val="auto"/>
          <w:szCs w:val="21"/>
          <w:highlight w:val="none"/>
        </w:rPr>
        <w:t>的法定代表人代表本公司授权</w:t>
      </w:r>
      <w:r>
        <w:rPr>
          <w:rFonts w:ascii="宋体" w:hAnsi="宋体"/>
          <w:color w:val="auto"/>
          <w:szCs w:val="21"/>
          <w:highlight w:val="none"/>
          <w:u w:val="single"/>
        </w:rPr>
        <w:t xml:space="preserve">   </w:t>
      </w:r>
      <w:r>
        <w:rPr>
          <w:rFonts w:hint="eastAsia" w:ascii="宋体" w:hAnsi="宋体"/>
          <w:color w:val="auto"/>
          <w:szCs w:val="21"/>
          <w:highlight w:val="none"/>
          <w:u w:val="single"/>
        </w:rPr>
        <w:t>（委托代理人姓名）</w:t>
      </w:r>
      <w:r>
        <w:rPr>
          <w:rFonts w:ascii="宋体" w:hAnsi="宋体"/>
          <w:color w:val="auto"/>
          <w:szCs w:val="21"/>
          <w:highlight w:val="none"/>
          <w:u w:val="single"/>
        </w:rPr>
        <w:t xml:space="preserve">   </w:t>
      </w:r>
      <w:r>
        <w:rPr>
          <w:rFonts w:hint="eastAsia" w:ascii="宋体" w:hAnsi="宋体"/>
          <w:color w:val="auto"/>
          <w:szCs w:val="21"/>
          <w:highlight w:val="none"/>
        </w:rPr>
        <w:t>为本公司合法代理人，以本单位名义亲自出席参加贵方组织的</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w:t>
      </w:r>
      <w:r>
        <w:rPr>
          <w:rFonts w:ascii="宋体" w:hAnsi="宋体"/>
          <w:color w:val="auto"/>
          <w:szCs w:val="21"/>
          <w:highlight w:val="none"/>
          <w:u w:val="single"/>
        </w:rPr>
        <w:t xml:space="preserve">    </w:t>
      </w:r>
      <w:r>
        <w:rPr>
          <w:rFonts w:hint="eastAsia" w:ascii="宋体" w:hAnsi="宋体"/>
          <w:color w:val="auto"/>
          <w:szCs w:val="21"/>
          <w:highlight w:val="none"/>
        </w:rPr>
        <w:t>项目的磋商。代理人在本项目磋商过程中所签署的一切文件和处理与之有关的一切事务，我方均予承认。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w:t>
      </w:r>
      <w:r>
        <w:rPr>
          <w:rFonts w:ascii="宋体" w:hAnsi="宋体"/>
          <w:color w:val="auto"/>
          <w:szCs w:val="21"/>
          <w:highlight w:val="none"/>
        </w:rPr>
        <w:t xml:space="preserve">  </w:t>
      </w:r>
      <w:r>
        <w:rPr>
          <w:rFonts w:hint="eastAsia" w:ascii="宋体" w:hAnsi="宋体"/>
          <w:color w:val="auto"/>
          <w:szCs w:val="21"/>
          <w:highlight w:val="none"/>
        </w:rPr>
        <w:t>应</w:t>
      </w:r>
      <w:r>
        <w:rPr>
          <w:rFonts w:ascii="宋体" w:hAnsi="宋体"/>
          <w:color w:val="auto"/>
          <w:szCs w:val="21"/>
          <w:highlight w:val="none"/>
        </w:rPr>
        <w:t xml:space="preserve">  </w:t>
      </w:r>
      <w:r>
        <w:rPr>
          <w:rFonts w:hint="eastAsia" w:ascii="宋体" w:hAnsi="宋体"/>
          <w:color w:val="auto"/>
          <w:szCs w:val="21"/>
          <w:highlight w:val="none"/>
        </w:rPr>
        <w:t>商：</w:t>
      </w:r>
      <w:r>
        <w:rPr>
          <w:rFonts w:ascii="宋体" w:hAnsi="宋体"/>
          <w:color w:val="auto"/>
          <w:szCs w:val="21"/>
          <w:highlight w:val="none"/>
          <w:u w:val="single"/>
        </w:rPr>
        <w:t xml:space="preserve">        </w:t>
      </w:r>
      <w:r>
        <w:rPr>
          <w:rFonts w:hint="eastAsia" w:ascii="宋体" w:hAnsi="宋体"/>
          <w:color w:val="auto"/>
          <w:szCs w:val="21"/>
          <w:highlight w:val="none"/>
          <w:u w:val="single"/>
        </w:rPr>
        <w:t>（全称）</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法定代表人身份证号码：</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代理人身份证号码：</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附：委托代理人详细地址：</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注：代理人出席磋商会时，应提供本人身份证（如非中国国籍应提供护照）原件交由磋商小组核验。</w:t>
      </w:r>
    </w:p>
    <w:p>
      <w:pPr>
        <w:rPr>
          <w:rFonts w:ascii="宋体" w:hAnsi="宋体"/>
          <w:b/>
          <w:bCs/>
          <w:color w:val="auto"/>
          <w:szCs w:val="21"/>
          <w:highlight w:val="none"/>
        </w:rPr>
      </w:pPr>
      <w:bookmarkStart w:id="156" w:name="_Toc383175511"/>
      <w:r>
        <w:rPr>
          <w:rFonts w:hint="eastAsia" w:ascii="宋体" w:hAnsi="宋体"/>
          <w:bCs/>
          <w:color w:val="auto"/>
          <w:szCs w:val="21"/>
          <w:highlight w:val="none"/>
        </w:rPr>
        <w:t>在资格证明文件中</w:t>
      </w:r>
      <w:r>
        <w:rPr>
          <w:rFonts w:hint="eastAsia" w:ascii="宋体" w:hAnsi="宋体"/>
          <w:b/>
          <w:bCs/>
          <w:color w:val="auto"/>
          <w:szCs w:val="21"/>
          <w:highlight w:val="none"/>
        </w:rPr>
        <w:t>附法定代表人及委托代理人身份证复印件。</w:t>
      </w:r>
    </w:p>
    <w:p>
      <w:pPr>
        <w:autoSpaceDE w:val="0"/>
        <w:autoSpaceDN w:val="0"/>
        <w:adjustRightInd w:val="0"/>
        <w:spacing w:line="600" w:lineRule="exact"/>
        <w:jc w:val="left"/>
        <w:rPr>
          <w:rFonts w:ascii="宋体" w:hAnsi="宋体" w:cs="Courier New"/>
          <w:b/>
          <w:color w:val="auto"/>
          <w:sz w:val="28"/>
          <w:szCs w:val="28"/>
          <w:highlight w:val="none"/>
        </w:rPr>
      </w:pPr>
      <w:r>
        <w:rPr>
          <w:rFonts w:ascii="宋体" w:hAnsi="宋体" w:cs="Courier New"/>
          <w:b/>
          <w:color w:val="auto"/>
          <w:szCs w:val="21"/>
          <w:highlight w:val="none"/>
        </w:rPr>
        <w:br w:type="page"/>
      </w:r>
      <w:bookmarkEnd w:id="156"/>
      <w:r>
        <w:rPr>
          <w:rFonts w:hint="eastAsia" w:ascii="宋体" w:hAnsi="宋体" w:cs="Courier New"/>
          <w:b/>
          <w:color w:val="auto"/>
          <w:sz w:val="28"/>
          <w:szCs w:val="28"/>
          <w:highlight w:val="none"/>
        </w:rPr>
        <w:t>格式</w:t>
      </w:r>
      <w:r>
        <w:rPr>
          <w:rFonts w:ascii="宋体" w:hAnsi="宋体" w:cs="Courier New"/>
          <w:b/>
          <w:color w:val="auto"/>
          <w:sz w:val="28"/>
          <w:szCs w:val="28"/>
          <w:highlight w:val="none"/>
        </w:rPr>
        <w:t>1-4：</w:t>
      </w:r>
    </w:p>
    <w:p>
      <w:pPr>
        <w:keepNext/>
        <w:keepLines/>
        <w:spacing w:before="120" w:after="120" w:line="360" w:lineRule="auto"/>
        <w:ind w:left="851"/>
        <w:jc w:val="center"/>
        <w:outlineLvl w:val="2"/>
        <w:rPr>
          <w:rFonts w:ascii="宋体" w:hAnsi="宋体"/>
          <w:b/>
          <w:bCs/>
          <w:color w:val="auto"/>
          <w:kern w:val="0"/>
          <w:sz w:val="32"/>
          <w:szCs w:val="32"/>
          <w:highlight w:val="none"/>
        </w:rPr>
      </w:pPr>
      <w:r>
        <w:rPr>
          <w:rFonts w:hint="eastAsia" w:ascii="宋体" w:hAnsi="宋体"/>
          <w:b/>
          <w:bCs/>
          <w:color w:val="auto"/>
          <w:kern w:val="0"/>
          <w:sz w:val="32"/>
          <w:szCs w:val="32"/>
          <w:highlight w:val="none"/>
        </w:rPr>
        <w:t>供应商没有处于被责令停业或财产被接管、冻结、破产等状态；2017年至今没有骗取中标和严重违约及重大安全、质量问题；当前未因不良纪录被主管部门停止投标资格等情形，提供承诺书或相关证明材料</w:t>
      </w:r>
    </w:p>
    <w:p>
      <w:pPr>
        <w:autoSpaceDE w:val="0"/>
        <w:autoSpaceDN w:val="0"/>
        <w:adjustRightInd w:val="0"/>
        <w:spacing w:line="600" w:lineRule="exact"/>
        <w:jc w:val="left"/>
        <w:rPr>
          <w:rFonts w:ascii="宋体" w:hAnsi="宋体" w:cs="Courier New"/>
          <w:b/>
          <w:color w:val="auto"/>
          <w:sz w:val="28"/>
          <w:szCs w:val="28"/>
          <w:highlight w:val="none"/>
        </w:rPr>
      </w:pPr>
      <w:r>
        <w:rPr>
          <w:rFonts w:ascii="宋体" w:hAnsi="宋体" w:cs="Courier New"/>
          <w:b/>
          <w:color w:val="auto"/>
          <w:szCs w:val="21"/>
          <w:highlight w:val="none"/>
        </w:rPr>
        <w:br w:type="page"/>
      </w:r>
      <w:r>
        <w:rPr>
          <w:rFonts w:hint="eastAsia" w:ascii="宋体" w:hAnsi="宋体" w:cs="Courier New"/>
          <w:b/>
          <w:color w:val="auto"/>
          <w:sz w:val="28"/>
          <w:szCs w:val="28"/>
          <w:highlight w:val="none"/>
        </w:rPr>
        <w:t>格式</w:t>
      </w:r>
      <w:r>
        <w:rPr>
          <w:rFonts w:ascii="宋体" w:hAnsi="宋体" w:cs="Courier New"/>
          <w:b/>
          <w:color w:val="auto"/>
          <w:sz w:val="28"/>
          <w:szCs w:val="28"/>
          <w:highlight w:val="none"/>
        </w:rPr>
        <w:t>1-5：</w:t>
      </w:r>
    </w:p>
    <w:p>
      <w:pPr>
        <w:keepNext/>
        <w:keepLines/>
        <w:spacing w:before="120" w:after="120" w:line="360" w:lineRule="auto"/>
        <w:ind w:left="851"/>
        <w:jc w:val="center"/>
        <w:outlineLvl w:val="2"/>
        <w:rPr>
          <w:rFonts w:ascii="宋体" w:hAnsi="宋体"/>
          <w:b/>
          <w:bCs/>
          <w:color w:val="auto"/>
          <w:kern w:val="0"/>
          <w:sz w:val="32"/>
          <w:szCs w:val="32"/>
          <w:highlight w:val="none"/>
        </w:rPr>
      </w:pPr>
      <w:r>
        <w:rPr>
          <w:rFonts w:hint="eastAsia" w:ascii="宋体" w:hAnsi="宋体"/>
          <w:b/>
          <w:bCs/>
          <w:color w:val="auto"/>
          <w:kern w:val="0"/>
          <w:sz w:val="32"/>
          <w:szCs w:val="32"/>
          <w:highlight w:val="none"/>
        </w:rPr>
        <w:t>供应商企业运行正常，须具有良好的商业信誉和健全的财务会计制度，提供（2017～2019年度）经审计单位或审计机构审计的财务报表或审计报告。【注：新成立企业不满三年的须提供成立至今经第三方机构审计的审计报告或财务报表（包括资产负债表、现金流量表和利润表）。】</w:t>
      </w:r>
    </w:p>
    <w:p>
      <w:pPr>
        <w:rPr>
          <w:rFonts w:ascii="宋体" w:hAnsi="宋体"/>
          <w:b/>
          <w:color w:val="auto"/>
          <w:szCs w:val="21"/>
          <w:highlight w:val="none"/>
        </w:rPr>
      </w:pPr>
    </w:p>
    <w:p>
      <w:pPr>
        <w:autoSpaceDE w:val="0"/>
        <w:autoSpaceDN w:val="0"/>
        <w:adjustRightInd w:val="0"/>
        <w:spacing w:line="600" w:lineRule="exact"/>
        <w:jc w:val="left"/>
        <w:rPr>
          <w:rFonts w:ascii="宋体" w:hAnsi="宋体" w:cs="Courier New"/>
          <w:b/>
          <w:color w:val="auto"/>
          <w:sz w:val="28"/>
          <w:szCs w:val="28"/>
          <w:highlight w:val="none"/>
        </w:rPr>
      </w:pPr>
      <w:r>
        <w:rPr>
          <w:rFonts w:ascii="宋体" w:hAnsi="宋体" w:cs="Courier New"/>
          <w:b/>
          <w:color w:val="auto"/>
          <w:sz w:val="28"/>
          <w:szCs w:val="28"/>
          <w:highlight w:val="none"/>
        </w:rPr>
        <w:br w:type="page"/>
      </w:r>
      <w:r>
        <w:rPr>
          <w:rFonts w:hint="eastAsia" w:ascii="宋体" w:hAnsi="宋体" w:cs="Courier New"/>
          <w:b/>
          <w:color w:val="auto"/>
          <w:sz w:val="28"/>
          <w:szCs w:val="28"/>
          <w:highlight w:val="none"/>
        </w:rPr>
        <w:t>格式</w:t>
      </w:r>
      <w:r>
        <w:rPr>
          <w:rFonts w:ascii="宋体" w:hAnsi="宋体" w:cs="Courier New"/>
          <w:b/>
          <w:color w:val="auto"/>
          <w:sz w:val="28"/>
          <w:szCs w:val="28"/>
          <w:highlight w:val="none"/>
        </w:rPr>
        <w:t>1-5：</w:t>
      </w:r>
    </w:p>
    <w:p>
      <w:pPr>
        <w:keepNext/>
        <w:keepLines/>
        <w:spacing w:before="120" w:after="120" w:line="360" w:lineRule="auto"/>
        <w:ind w:firstLine="640" w:firstLineChars="200"/>
        <w:jc w:val="both"/>
        <w:outlineLvl w:val="2"/>
        <w:rPr>
          <w:rFonts w:ascii="宋体" w:hAnsi="宋体"/>
          <w:b/>
          <w:bCs/>
          <w:color w:val="auto"/>
          <w:kern w:val="0"/>
          <w:sz w:val="32"/>
          <w:szCs w:val="32"/>
          <w:highlight w:val="none"/>
        </w:rPr>
      </w:pPr>
      <w:r>
        <w:rPr>
          <w:rFonts w:hint="eastAsia" w:ascii="宋体" w:hAnsi="宋体"/>
          <w:b/>
          <w:bCs/>
          <w:color w:val="auto"/>
          <w:kern w:val="0"/>
          <w:sz w:val="32"/>
          <w:szCs w:val="32"/>
          <w:highlight w:val="none"/>
        </w:rPr>
        <w:t>磋商文件“供应商资格要求”中要求提供的其他资格证明文件</w:t>
      </w:r>
    </w:p>
    <w:p>
      <w:pPr>
        <w:autoSpaceDE w:val="0"/>
        <w:autoSpaceDN w:val="0"/>
        <w:adjustRightInd w:val="0"/>
        <w:spacing w:line="600" w:lineRule="exact"/>
        <w:jc w:val="left"/>
        <w:rPr>
          <w:rFonts w:ascii="宋体" w:hAnsi="宋体" w:cs="Courier New"/>
          <w:b/>
          <w:color w:val="auto"/>
          <w:sz w:val="28"/>
          <w:szCs w:val="28"/>
          <w:highlight w:val="none"/>
        </w:rPr>
      </w:pPr>
      <w:r>
        <w:rPr>
          <w:rFonts w:ascii="宋体" w:hAnsi="宋体" w:cs="Courier New"/>
          <w:color w:val="auto"/>
          <w:szCs w:val="21"/>
          <w:highlight w:val="none"/>
        </w:rPr>
        <w:br w:type="page"/>
      </w:r>
    </w:p>
    <w:p>
      <w:pPr>
        <w:spacing w:line="360" w:lineRule="auto"/>
        <w:jc w:val="left"/>
        <w:rPr>
          <w:b/>
          <w:color w:val="auto"/>
          <w:sz w:val="28"/>
          <w:szCs w:val="28"/>
          <w:highlight w:val="none"/>
        </w:rPr>
      </w:pPr>
      <w:r>
        <w:rPr>
          <w:rFonts w:hint="eastAsia"/>
          <w:b/>
          <w:color w:val="auto"/>
          <w:sz w:val="28"/>
          <w:szCs w:val="28"/>
          <w:highlight w:val="none"/>
        </w:rPr>
        <w:t>格式</w:t>
      </w:r>
      <w:r>
        <w:rPr>
          <w:b/>
          <w:color w:val="auto"/>
          <w:sz w:val="28"/>
          <w:szCs w:val="28"/>
          <w:highlight w:val="none"/>
        </w:rPr>
        <w:t>2</w:t>
      </w:r>
      <w:bookmarkEnd w:id="148"/>
      <w:bookmarkEnd w:id="149"/>
    </w:p>
    <w:p>
      <w:pPr>
        <w:keepNext/>
        <w:keepLines/>
        <w:spacing w:after="120" w:line="360" w:lineRule="auto"/>
        <w:jc w:val="center"/>
        <w:outlineLvl w:val="1"/>
        <w:rPr>
          <w:b/>
          <w:color w:val="auto"/>
          <w:kern w:val="0"/>
          <w:sz w:val="28"/>
          <w:szCs w:val="28"/>
          <w:highlight w:val="none"/>
        </w:rPr>
      </w:pPr>
      <w:bookmarkStart w:id="157" w:name="_Toc347849252"/>
      <w:bookmarkStart w:id="158" w:name="_Toc383177371"/>
      <w:r>
        <w:rPr>
          <w:rFonts w:hint="eastAsia"/>
          <w:b/>
          <w:color w:val="auto"/>
          <w:kern w:val="0"/>
          <w:sz w:val="32"/>
          <w:szCs w:val="28"/>
          <w:highlight w:val="none"/>
        </w:rPr>
        <w:t>磋商申请</w:t>
      </w:r>
      <w:bookmarkEnd w:id="157"/>
      <w:r>
        <w:rPr>
          <w:rFonts w:hint="eastAsia"/>
          <w:b/>
          <w:color w:val="auto"/>
          <w:kern w:val="0"/>
          <w:sz w:val="32"/>
          <w:szCs w:val="28"/>
          <w:highlight w:val="none"/>
        </w:rPr>
        <w:t>函</w:t>
      </w:r>
      <w:bookmarkEnd w:id="158"/>
    </w:p>
    <w:p>
      <w:pPr>
        <w:spacing w:line="360" w:lineRule="auto"/>
        <w:jc w:val="lef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（采购人名称）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我方仔细研究了</w:t>
      </w:r>
      <w:r>
        <w:rPr>
          <w:rFonts w:hint="eastAsia" w:ascii="宋体" w:hAnsi="宋体"/>
          <w:color w:val="auto"/>
          <w:szCs w:val="21"/>
          <w:highlight w:val="none"/>
          <w:u w:val="single"/>
        </w:rPr>
        <w:t>（采购项目名称）</w:t>
      </w:r>
      <w:r>
        <w:rPr>
          <w:rFonts w:ascii="宋体" w:hAnsi="宋体"/>
          <w:color w:val="auto"/>
          <w:szCs w:val="21"/>
          <w:highlight w:val="none"/>
          <w:u w:val="single"/>
        </w:rPr>
        <w:t xml:space="preserve">   </w:t>
      </w:r>
      <w:r>
        <w:rPr>
          <w:rFonts w:hint="eastAsia" w:ascii="宋体" w:hAnsi="宋体"/>
          <w:color w:val="auto"/>
          <w:szCs w:val="21"/>
          <w:highlight w:val="none"/>
        </w:rPr>
        <w:t>项目竞争性磋商文件的全部内容，我方正式授权下述签字人</w:t>
      </w:r>
      <w:r>
        <w:rPr>
          <w:rFonts w:ascii="宋体" w:hAnsi="宋体"/>
          <w:color w:val="auto"/>
          <w:szCs w:val="21"/>
          <w:highlight w:val="none"/>
          <w:u w:val="single"/>
        </w:rPr>
        <w:t xml:space="preserve">   （姓名和职务）     </w:t>
      </w:r>
      <w:r>
        <w:rPr>
          <w:rFonts w:hint="eastAsia" w:ascii="宋体" w:hAnsi="宋体"/>
          <w:color w:val="auto"/>
          <w:szCs w:val="21"/>
          <w:highlight w:val="none"/>
        </w:rPr>
        <w:t>全权代表</w:t>
      </w:r>
      <w:r>
        <w:rPr>
          <w:rFonts w:ascii="宋体" w:hAnsi="宋体"/>
          <w:color w:val="auto"/>
          <w:szCs w:val="21"/>
          <w:highlight w:val="none"/>
          <w:u w:val="single"/>
        </w:rPr>
        <w:t xml:space="preserve">  （供应商全称）   </w:t>
      </w:r>
      <w:r>
        <w:rPr>
          <w:rFonts w:hint="eastAsia" w:ascii="宋体" w:hAnsi="宋体"/>
          <w:color w:val="auto"/>
          <w:szCs w:val="21"/>
          <w:highlight w:val="none"/>
        </w:rPr>
        <w:t>参加磋商，并提交响应文件正本一份，副本</w:t>
      </w:r>
      <w:r>
        <w:rPr>
          <w:rFonts w:ascii="宋体" w:hAnsi="宋体"/>
          <w:color w:val="auto"/>
          <w:szCs w:val="21"/>
          <w:highlight w:val="none"/>
          <w:u w:val="single"/>
        </w:rPr>
        <w:t xml:space="preserve">   </w:t>
      </w:r>
      <w:r>
        <w:rPr>
          <w:rFonts w:hint="eastAsia" w:ascii="宋体" w:hAnsi="宋体"/>
          <w:color w:val="auto"/>
          <w:szCs w:val="21"/>
          <w:highlight w:val="none"/>
        </w:rPr>
        <w:t>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据此申请书，签字人兹宣布同意如下：</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按磋商文件项目需求及服务要求和报价表，总报价为人民币（大写）</w:t>
      </w:r>
      <w:r>
        <w:rPr>
          <w:rFonts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 xml:space="preserve"> ）。以最终报价，在</w:t>
      </w:r>
      <w:r>
        <w:rPr>
          <w:rFonts w:ascii="宋体" w:hAnsi="宋体"/>
          <w:color w:val="auto"/>
          <w:szCs w:val="21"/>
          <w:highlight w:val="none"/>
          <w:u w:val="single"/>
        </w:rPr>
        <w:t xml:space="preserve">   （服务期限）     </w:t>
      </w:r>
      <w:r>
        <w:rPr>
          <w:rFonts w:hint="eastAsia" w:ascii="宋体" w:hAnsi="宋体"/>
          <w:color w:val="auto"/>
          <w:szCs w:val="21"/>
          <w:highlight w:val="none"/>
        </w:rPr>
        <w:t>内完成项目。</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我方同意在《供应商须知》规定的递交响应文件截止日期起遵循本响应文件，并在《供应商须知》第</w:t>
      </w:r>
      <w:r>
        <w:rPr>
          <w:rFonts w:ascii="宋体" w:hAnsi="宋体"/>
          <w:color w:val="auto"/>
          <w:szCs w:val="21"/>
          <w:highlight w:val="none"/>
        </w:rPr>
        <w:t>11条规定的有效期满之前均具有约束力。如果我方报价被接受，则至合同履行完毕、质保期满为止，本承诺书保持有效。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我方将按竞争性磋商文件的规定履行合同责任和义务。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同意应贵方要求提供与本次磋商有关的任何数据和资料，并保证数据和资料的完整性和真实性。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我方完全理解贵方不一定要接受最低报价的磋商供应商为成交供应商的行为。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与本次磋商有关的正式通讯地址为：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w:t>
      </w:r>
      <w:r>
        <w:rPr>
          <w:rFonts w:ascii="宋体" w:hAnsi="宋体"/>
          <w:color w:val="auto"/>
          <w:szCs w:val="21"/>
          <w:highlight w:val="none"/>
          <w:u w:val="single"/>
        </w:rPr>
        <w:t xml:space="preserve">                  </w:t>
      </w:r>
      <w:r>
        <w:rPr>
          <w:rFonts w:ascii="宋体" w:hAnsi="宋体"/>
          <w:color w:val="auto"/>
          <w:szCs w:val="21"/>
          <w:highlight w:val="none"/>
        </w:rPr>
        <w:t xml:space="preserve">           邮政编码：</w:t>
      </w:r>
      <w:r>
        <w:rPr>
          <w:rFonts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ascii="宋体" w:hAnsi="宋体"/>
          <w:color w:val="auto"/>
          <w:szCs w:val="21"/>
          <w:highlight w:val="none"/>
          <w:u w:val="single"/>
        </w:rPr>
        <w:t xml:space="preserve">                  </w:t>
      </w:r>
      <w:r>
        <w:rPr>
          <w:rFonts w:ascii="宋体" w:hAnsi="宋体"/>
          <w:color w:val="auto"/>
          <w:szCs w:val="21"/>
          <w:highlight w:val="none"/>
        </w:rPr>
        <w:t xml:space="preserve">           传    真：</w:t>
      </w:r>
      <w:r>
        <w:rPr>
          <w:rFonts w:hint="eastAsia" w:ascii="宋体" w:hAnsi="宋体"/>
          <w:color w:val="auto"/>
          <w:szCs w:val="21"/>
          <w:highlight w:val="none"/>
          <w:u w:val="single"/>
        </w:rPr>
        <w:t>　　　　　　　　</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开户名称：</w:t>
      </w:r>
      <w:r>
        <w:rPr>
          <w:rFonts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开户银行：</w:t>
      </w:r>
      <w:r>
        <w:rPr>
          <w:rFonts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帐</w:t>
      </w:r>
      <w:r>
        <w:rPr>
          <w:rFonts w:ascii="宋体" w:hAnsi="宋体"/>
          <w:color w:val="auto"/>
          <w:szCs w:val="21"/>
          <w:highlight w:val="none"/>
        </w:rPr>
        <w:t xml:space="preserve">    </w:t>
      </w:r>
      <w:r>
        <w:rPr>
          <w:rFonts w:hint="eastAsia" w:ascii="宋体" w:hAnsi="宋体"/>
          <w:color w:val="auto"/>
          <w:szCs w:val="21"/>
          <w:highlight w:val="none"/>
        </w:rPr>
        <w:t>号：</w:t>
      </w:r>
      <w:r>
        <w:rPr>
          <w:rFonts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（全称）                     </w:t>
      </w:r>
      <w:r>
        <w:rPr>
          <w:rFonts w:hint="eastAsia" w:ascii="宋体" w:hAnsi="宋体"/>
          <w:color w:val="auto"/>
          <w:szCs w:val="21"/>
          <w:highlight w:val="none"/>
        </w:rPr>
        <w:t>（盖单位章）</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jc w:val="left"/>
        <w:rPr>
          <w:color w:val="auto"/>
          <w:szCs w:val="21"/>
          <w:highlight w:val="none"/>
        </w:rPr>
      </w:pPr>
    </w:p>
    <w:p>
      <w:pPr>
        <w:spacing w:line="360" w:lineRule="auto"/>
        <w:ind w:firstLine="420" w:firstLineChars="200"/>
        <w:jc w:val="left"/>
        <w:rPr>
          <w:color w:val="auto"/>
          <w:szCs w:val="21"/>
          <w:highlight w:val="none"/>
          <w:u w:val="single"/>
        </w:rPr>
      </w:pPr>
    </w:p>
    <w:p>
      <w:pPr>
        <w:rPr>
          <w:color w:val="auto"/>
          <w:highlight w:val="none"/>
        </w:rPr>
      </w:pPr>
    </w:p>
    <w:p>
      <w:pPr>
        <w:spacing w:line="360" w:lineRule="auto"/>
        <w:jc w:val="left"/>
        <w:rPr>
          <w:b/>
          <w:color w:val="auto"/>
          <w:sz w:val="32"/>
          <w:szCs w:val="32"/>
          <w:highlight w:val="none"/>
        </w:rPr>
      </w:pPr>
      <w:r>
        <w:rPr>
          <w:b/>
          <w:bCs/>
          <w:color w:val="auto"/>
          <w:highlight w:val="none"/>
        </w:rPr>
        <w:br w:type="page"/>
      </w:r>
      <w:bookmarkStart w:id="159" w:name="_Toc347849253"/>
      <w:bookmarkStart w:id="160" w:name="_Toc383177372"/>
      <w:bookmarkStart w:id="161" w:name="_Toc346496609"/>
      <w:bookmarkStart w:id="162" w:name="_Toc267641379"/>
      <w:bookmarkStart w:id="163" w:name="_Toc327344860"/>
      <w:bookmarkStart w:id="164" w:name="_Toc232509438"/>
      <w:r>
        <w:rPr>
          <w:rFonts w:hint="eastAsia"/>
          <w:b/>
          <w:color w:val="auto"/>
          <w:sz w:val="32"/>
          <w:szCs w:val="32"/>
          <w:highlight w:val="none"/>
        </w:rPr>
        <w:t>格式</w:t>
      </w:r>
      <w:r>
        <w:rPr>
          <w:b/>
          <w:color w:val="auto"/>
          <w:sz w:val="32"/>
          <w:szCs w:val="32"/>
          <w:highlight w:val="none"/>
        </w:rPr>
        <w:t>3</w:t>
      </w:r>
      <w:bookmarkEnd w:id="159"/>
      <w:bookmarkEnd w:id="160"/>
    </w:p>
    <w:p>
      <w:pPr>
        <w:keepNext/>
        <w:keepLines/>
        <w:spacing w:before="120" w:after="120" w:line="360" w:lineRule="auto"/>
        <w:ind w:firstLine="640" w:firstLineChars="200"/>
        <w:jc w:val="center"/>
        <w:outlineLvl w:val="2"/>
        <w:rPr>
          <w:rFonts w:ascii="宋体"/>
          <w:b/>
          <w:bCs/>
          <w:color w:val="auto"/>
          <w:kern w:val="0"/>
          <w:sz w:val="32"/>
          <w:szCs w:val="32"/>
          <w:highlight w:val="none"/>
        </w:rPr>
      </w:pPr>
      <w:bookmarkStart w:id="165" w:name="_Toc383177373"/>
      <w:bookmarkStart w:id="166" w:name="_Toc347849254"/>
      <w:r>
        <w:rPr>
          <w:rFonts w:hint="eastAsia" w:ascii="宋体"/>
          <w:b/>
          <w:bCs/>
          <w:color w:val="auto"/>
          <w:kern w:val="0"/>
          <w:sz w:val="32"/>
          <w:szCs w:val="32"/>
          <w:highlight w:val="none"/>
        </w:rPr>
        <w:t>格式</w:t>
      </w:r>
      <w:r>
        <w:rPr>
          <w:rFonts w:ascii="宋体"/>
          <w:b/>
          <w:bCs/>
          <w:color w:val="auto"/>
          <w:kern w:val="0"/>
          <w:sz w:val="32"/>
          <w:szCs w:val="32"/>
          <w:highlight w:val="none"/>
        </w:rPr>
        <w:t xml:space="preserve">3-1  </w:t>
      </w:r>
      <w:r>
        <w:rPr>
          <w:rFonts w:hint="eastAsia" w:ascii="宋体"/>
          <w:b/>
          <w:bCs/>
          <w:color w:val="auto"/>
          <w:kern w:val="0"/>
          <w:sz w:val="32"/>
          <w:szCs w:val="32"/>
          <w:highlight w:val="none"/>
        </w:rPr>
        <w:t>磋商报价一览表</w:t>
      </w:r>
      <w:bookmarkEnd w:id="161"/>
      <w:bookmarkEnd w:id="165"/>
      <w:bookmarkEnd w:id="166"/>
    </w:p>
    <w:p>
      <w:pPr>
        <w:rPr>
          <w:color w:val="auto"/>
          <w:highlight w:val="none"/>
        </w:rPr>
      </w:pPr>
    </w:p>
    <w:p>
      <w:pPr>
        <w:autoSpaceDE w:val="0"/>
        <w:autoSpaceDN w:val="0"/>
        <w:adjustRightInd w:val="0"/>
        <w:jc w:val="left"/>
        <w:rPr>
          <w:rFonts w:hAnsi="Courier New" w:cs="Courier New"/>
          <w:color w:val="auto"/>
          <w:szCs w:val="21"/>
          <w:highlight w:val="none"/>
          <w:u w:val="single"/>
        </w:rPr>
      </w:pPr>
      <w:r>
        <w:rPr>
          <w:rFonts w:hint="eastAsia" w:ascii="宋体" w:hAnsi="Courier New" w:cs="Courier New"/>
          <w:b/>
          <w:color w:val="auto"/>
          <w:szCs w:val="21"/>
          <w:highlight w:val="none"/>
        </w:rPr>
        <w:t>项目名称：</w:t>
      </w:r>
      <w:r>
        <w:rPr>
          <w:rFonts w:ascii="宋体" w:hAnsi="Courier New" w:cs="Courier New"/>
          <w:b/>
          <w:color w:val="auto"/>
          <w:szCs w:val="21"/>
          <w:highlight w:val="none"/>
          <w:u w:val="single"/>
        </w:rPr>
        <w:t xml:space="preserve">                   </w:t>
      </w:r>
      <w:r>
        <w:rPr>
          <w:rFonts w:hint="eastAsia" w:ascii="宋体" w:hAnsi="Courier New" w:cs="Courier New"/>
          <w:b/>
          <w:color w:val="auto"/>
          <w:szCs w:val="21"/>
          <w:highlight w:val="none"/>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2062"/>
        <w:gridCol w:w="2126"/>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18030"/>
                <w:color w:val="auto"/>
                <w:sz w:val="24"/>
                <w:highlight w:val="none"/>
              </w:rPr>
            </w:pPr>
            <w:r>
              <w:rPr>
                <w:rFonts w:hint="eastAsia" w:ascii="宋体" w:hAnsi="宋体" w:cs="宋体-18030"/>
                <w:color w:val="auto"/>
                <w:sz w:val="24"/>
                <w:highlight w:val="none"/>
              </w:rPr>
              <w:t>磋商总报价</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18030"/>
                <w:color w:val="auto"/>
                <w:sz w:val="24"/>
                <w:highlight w:val="none"/>
              </w:rPr>
            </w:pPr>
            <w:r>
              <w:rPr>
                <w:rFonts w:hint="eastAsia" w:ascii="宋体" w:hAnsi="宋体" w:cs="宋体-18030"/>
                <w:color w:val="auto"/>
                <w:sz w:val="24"/>
                <w:highlight w:val="none"/>
              </w:rPr>
              <w:t>服务期限</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18030"/>
                <w:color w:val="auto"/>
                <w:sz w:val="24"/>
                <w:highlight w:val="none"/>
              </w:rPr>
            </w:pPr>
            <w:r>
              <w:rPr>
                <w:rFonts w:hint="eastAsia" w:ascii="宋体" w:hAnsi="宋体" w:cs="宋体-18030"/>
                <w:color w:val="auto"/>
                <w:sz w:val="24"/>
                <w:highlight w:val="none"/>
              </w:rPr>
              <w:t>服务承诺</w:t>
            </w:r>
          </w:p>
        </w:tc>
        <w:tc>
          <w:tcPr>
            <w:tcW w:w="2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18030"/>
                <w:color w:val="auto"/>
                <w:sz w:val="24"/>
                <w:highlight w:val="none"/>
              </w:rPr>
            </w:pPr>
            <w:r>
              <w:rPr>
                <w:rFonts w:hint="eastAsia" w:ascii="宋体" w:hAnsi="宋体" w:cs="宋体-18030"/>
                <w:color w:val="auto"/>
                <w:sz w:val="24"/>
                <w:highlight w:val="none"/>
              </w:rPr>
              <w:t>备</w:t>
            </w:r>
            <w:r>
              <w:rPr>
                <w:rFonts w:ascii="宋体" w:hAnsi="宋体" w:cs="宋体-18030"/>
                <w:color w:val="auto"/>
                <w:sz w:val="24"/>
                <w:highlight w:val="none"/>
              </w:rPr>
              <w:t xml:space="preserve"> </w:t>
            </w:r>
            <w:r>
              <w:rPr>
                <w:rFonts w:hint="eastAsia" w:ascii="宋体" w:hAnsi="宋体" w:cs="宋体-18030"/>
                <w:color w:val="auto"/>
                <w:sz w:val="24"/>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小写：</w:t>
            </w:r>
            <w:r>
              <w:rPr>
                <w:rFonts w:ascii="宋体" w:hAnsi="宋体"/>
                <w:color w:val="auto"/>
                <w:sz w:val="24"/>
                <w:highlight w:val="none"/>
              </w:rPr>
              <w:t xml:space="preserve">       </w:t>
            </w:r>
            <w:r>
              <w:rPr>
                <w:rFonts w:hint="eastAsia" w:ascii="宋体" w:hAnsi="宋体"/>
                <w:color w:val="auto"/>
                <w:sz w:val="24"/>
                <w:highlight w:val="none"/>
              </w:rPr>
              <w:t>万元</w:t>
            </w:r>
          </w:p>
          <w:p>
            <w:pPr>
              <w:rPr>
                <w:rFonts w:ascii="宋体" w:hAnsi="宋体"/>
                <w:color w:val="auto"/>
                <w:sz w:val="24"/>
                <w:highlight w:val="none"/>
              </w:rPr>
            </w:pPr>
            <w:r>
              <w:rPr>
                <w:rFonts w:hint="eastAsia" w:ascii="宋体" w:hAnsi="宋体"/>
                <w:color w:val="auto"/>
                <w:sz w:val="24"/>
                <w:highlight w:val="none"/>
              </w:rPr>
              <w:t>大写：</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u w:val="single"/>
              </w:rPr>
            </w:pPr>
          </w:p>
          <w:p>
            <w:pPr>
              <w:spacing w:line="360" w:lineRule="auto"/>
              <w:rPr>
                <w:rFonts w:ascii="宋体" w:hAnsi="宋体"/>
                <w:color w:val="auto"/>
                <w:sz w:val="24"/>
                <w:highlight w:val="none"/>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highlight w:val="none"/>
                <w:u w:val="single"/>
              </w:rPr>
            </w:pPr>
          </w:p>
          <w:p>
            <w:pPr>
              <w:spacing w:line="360" w:lineRule="auto"/>
              <w:rPr>
                <w:rFonts w:ascii="宋体" w:hAnsi="宋体"/>
                <w:color w:val="auto"/>
                <w:sz w:val="24"/>
                <w:highlight w:val="none"/>
                <w:u w:val="single"/>
              </w:rPr>
            </w:pPr>
          </w:p>
        </w:tc>
        <w:tc>
          <w:tcPr>
            <w:tcW w:w="284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1803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18030"/>
                <w:color w:val="auto"/>
                <w:sz w:val="24"/>
                <w:highlight w:val="none"/>
              </w:rPr>
            </w:pPr>
            <w:r>
              <w:rPr>
                <w:rFonts w:hint="eastAsia" w:ascii="宋体" w:hAnsi="宋体" w:cs="宋体-18030"/>
                <w:color w:val="auto"/>
                <w:sz w:val="24"/>
                <w:highlight w:val="none"/>
              </w:rPr>
              <w:t>供应商（盖章）：</w:t>
            </w:r>
            <w:r>
              <w:rPr>
                <w:rFonts w:ascii="宋体" w:hAnsi="宋体" w:cs="宋体-18030"/>
                <w:color w:val="auto"/>
                <w:sz w:val="24"/>
                <w:highlight w:val="none"/>
              </w:rPr>
              <w:t xml:space="preserve">             </w:t>
            </w:r>
            <w:r>
              <w:rPr>
                <w:rFonts w:hint="eastAsia" w:ascii="宋体" w:hAnsi="宋体" w:cs="宋体-18030"/>
                <w:color w:val="auto"/>
                <w:sz w:val="24"/>
                <w:highlight w:val="none"/>
              </w:rPr>
              <w:t>法定代表人或其授权代表（签字或盖章）：</w:t>
            </w:r>
          </w:p>
          <w:p>
            <w:pPr>
              <w:spacing w:line="360" w:lineRule="auto"/>
              <w:rPr>
                <w:rFonts w:ascii="宋体" w:hAnsi="宋体" w:cs="宋体-18030"/>
                <w:color w:val="auto"/>
                <w:sz w:val="24"/>
                <w:highlight w:val="none"/>
              </w:rPr>
            </w:pPr>
            <w:r>
              <w:rPr>
                <w:rFonts w:ascii="宋体" w:hAnsi="宋体" w:cs="宋体-18030"/>
                <w:color w:val="auto"/>
                <w:sz w:val="24"/>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7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694" w:hanging="691" w:hangingChars="288"/>
              <w:rPr>
                <w:rFonts w:ascii="宋体" w:hAnsi="宋体" w:cs="宋体-18030"/>
                <w:b/>
                <w:color w:val="auto"/>
                <w:sz w:val="24"/>
                <w:highlight w:val="none"/>
              </w:rPr>
            </w:pPr>
            <w:r>
              <w:rPr>
                <w:rFonts w:hint="eastAsia" w:ascii="宋体" w:hAnsi="宋体" w:cs="宋体-18030"/>
                <w:b/>
                <w:color w:val="auto"/>
                <w:sz w:val="24"/>
                <w:highlight w:val="none"/>
              </w:rPr>
              <w:t>备注：①此竞争性磋商报价一览表，供应商应放在响应文件封面后第一页。</w:t>
            </w:r>
          </w:p>
        </w:tc>
      </w:tr>
    </w:tbl>
    <w:p>
      <w:pPr>
        <w:autoSpaceDE w:val="0"/>
        <w:autoSpaceDN w:val="0"/>
        <w:adjustRightInd w:val="0"/>
        <w:spacing w:before="156"/>
        <w:ind w:firstLine="436"/>
        <w:jc w:val="left"/>
        <w:rPr>
          <w:rFonts w:cs="Courier New"/>
          <w:color w:val="auto"/>
          <w:kern w:val="0"/>
          <w:sz w:val="20"/>
          <w:highlight w:val="none"/>
        </w:rPr>
      </w:pPr>
    </w:p>
    <w:p>
      <w:pPr>
        <w:rPr>
          <w:color w:val="auto"/>
          <w:sz w:val="24"/>
          <w:szCs w:val="20"/>
          <w:highlight w:val="none"/>
          <w:u w:val="single"/>
        </w:rPr>
      </w:pPr>
    </w:p>
    <w:p>
      <w:pPr>
        <w:keepNext/>
        <w:keepLines/>
        <w:spacing w:before="120" w:after="120" w:line="360" w:lineRule="auto"/>
        <w:ind w:firstLine="640" w:firstLineChars="200"/>
        <w:jc w:val="center"/>
        <w:outlineLvl w:val="2"/>
        <w:rPr>
          <w:rFonts w:ascii="宋体"/>
          <w:b/>
          <w:bCs/>
          <w:color w:val="auto"/>
          <w:kern w:val="0"/>
          <w:sz w:val="32"/>
          <w:szCs w:val="32"/>
          <w:highlight w:val="none"/>
        </w:rPr>
      </w:pPr>
      <w:r>
        <w:rPr>
          <w:rFonts w:ascii="宋体"/>
          <w:color w:val="auto"/>
          <w:kern w:val="0"/>
          <w:sz w:val="32"/>
          <w:szCs w:val="32"/>
          <w:highlight w:val="none"/>
        </w:rPr>
        <w:br w:type="page"/>
      </w:r>
      <w:bookmarkStart w:id="167" w:name="_Toc383177374"/>
      <w:bookmarkStart w:id="168" w:name="_Toc347849255"/>
      <w:r>
        <w:rPr>
          <w:rFonts w:hint="eastAsia" w:ascii="宋体"/>
          <w:b/>
          <w:bCs/>
          <w:color w:val="auto"/>
          <w:kern w:val="0"/>
          <w:sz w:val="32"/>
          <w:szCs w:val="32"/>
          <w:highlight w:val="none"/>
        </w:rPr>
        <w:t>格式</w:t>
      </w:r>
      <w:r>
        <w:rPr>
          <w:rFonts w:ascii="宋体"/>
          <w:b/>
          <w:bCs/>
          <w:color w:val="auto"/>
          <w:kern w:val="0"/>
          <w:sz w:val="32"/>
          <w:szCs w:val="32"/>
          <w:highlight w:val="none"/>
        </w:rPr>
        <w:t xml:space="preserve">3-2  </w:t>
      </w:r>
      <w:r>
        <w:rPr>
          <w:rFonts w:hint="eastAsia" w:ascii="宋体"/>
          <w:b/>
          <w:bCs/>
          <w:color w:val="auto"/>
          <w:kern w:val="0"/>
          <w:sz w:val="32"/>
          <w:szCs w:val="32"/>
          <w:highlight w:val="none"/>
        </w:rPr>
        <w:t>分项报价表</w:t>
      </w:r>
      <w:bookmarkEnd w:id="162"/>
      <w:bookmarkEnd w:id="163"/>
      <w:bookmarkEnd w:id="164"/>
      <w:bookmarkEnd w:id="167"/>
      <w:bookmarkEnd w:id="168"/>
    </w:p>
    <w:p>
      <w:pPr>
        <w:autoSpaceDE w:val="0"/>
        <w:autoSpaceDN w:val="0"/>
        <w:adjustRightInd w:val="0"/>
        <w:jc w:val="left"/>
        <w:rPr>
          <w:rFonts w:ascii="宋体" w:hAnsi="Courier New" w:cs="Courier New"/>
          <w:b/>
          <w:color w:val="auto"/>
          <w:szCs w:val="21"/>
          <w:highlight w:val="none"/>
          <w:u w:val="single"/>
        </w:rPr>
      </w:pPr>
      <w:r>
        <w:rPr>
          <w:rFonts w:hint="eastAsia" w:ascii="宋体" w:hAnsi="Courier New" w:cs="Courier New"/>
          <w:b/>
          <w:color w:val="auto"/>
          <w:szCs w:val="21"/>
          <w:highlight w:val="none"/>
        </w:rPr>
        <w:t>项目名称：</w:t>
      </w:r>
      <w:r>
        <w:rPr>
          <w:rFonts w:ascii="宋体" w:hAnsi="Courier New" w:cs="Courier New"/>
          <w:b/>
          <w:color w:val="auto"/>
          <w:szCs w:val="21"/>
          <w:highlight w:val="none"/>
          <w:u w:val="single"/>
        </w:rPr>
        <w:t xml:space="preserve">                   </w:t>
      </w:r>
      <w:r>
        <w:rPr>
          <w:rFonts w:hint="eastAsia" w:ascii="宋体" w:hAnsi="Courier New" w:cs="Courier New"/>
          <w:b/>
          <w:color w:val="auto"/>
          <w:szCs w:val="21"/>
          <w:highlight w:val="none"/>
        </w:rPr>
        <w:t xml:space="preserve">                                         </w:t>
      </w:r>
      <w:r>
        <w:rPr>
          <w:rFonts w:ascii="宋体" w:hAnsi="Courier New" w:cs="Courier New"/>
          <w:b/>
          <w:color w:val="auto"/>
          <w:szCs w:val="21"/>
          <w:highlight w:val="none"/>
          <w:u w:val="single"/>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010"/>
        <w:gridCol w:w="1228"/>
        <w:gridCol w:w="1080"/>
        <w:gridCol w:w="1295"/>
        <w:gridCol w:w="12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b/>
                <w:color w:val="auto"/>
                <w:spacing w:val="-20"/>
                <w:sz w:val="24"/>
                <w:szCs w:val="21"/>
                <w:highlight w:val="none"/>
              </w:rPr>
            </w:pPr>
            <w:r>
              <w:rPr>
                <w:rFonts w:hint="eastAsia" w:ascii="宋体" w:hAnsi="宋体" w:cs="Courier New"/>
                <w:b/>
                <w:color w:val="auto"/>
                <w:spacing w:val="-20"/>
                <w:sz w:val="24"/>
                <w:szCs w:val="21"/>
                <w:highlight w:val="none"/>
              </w:rPr>
              <w:t>序号</w:t>
            </w:r>
          </w:p>
        </w:tc>
        <w:tc>
          <w:tcPr>
            <w:tcW w:w="3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ourier New"/>
                <w:b/>
                <w:color w:val="auto"/>
                <w:spacing w:val="-20"/>
                <w:sz w:val="24"/>
                <w:szCs w:val="21"/>
                <w:highlight w:val="none"/>
              </w:rPr>
            </w:pPr>
            <w:r>
              <w:rPr>
                <w:rFonts w:hint="eastAsia" w:ascii="宋体" w:hAnsi="宋体" w:cs="Courier New"/>
                <w:b/>
                <w:color w:val="auto"/>
                <w:spacing w:val="-20"/>
                <w:sz w:val="24"/>
                <w:szCs w:val="21"/>
                <w:highlight w:val="none"/>
              </w:rPr>
              <w:t>品类</w:t>
            </w:r>
          </w:p>
        </w:tc>
        <w:tc>
          <w:tcPr>
            <w:tcW w:w="12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ourier New"/>
                <w:b/>
                <w:color w:val="auto"/>
                <w:sz w:val="24"/>
                <w:szCs w:val="21"/>
                <w:highlight w:val="none"/>
              </w:rPr>
            </w:pPr>
            <w:r>
              <w:rPr>
                <w:rFonts w:hint="eastAsia" w:ascii="宋体" w:hAnsi="宋体" w:cs="Courier New"/>
                <w:b/>
                <w:color w:val="auto"/>
                <w:sz w:val="24"/>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ourier New"/>
                <w:b/>
                <w:color w:val="auto"/>
                <w:sz w:val="24"/>
                <w:szCs w:val="21"/>
                <w:highlight w:val="none"/>
              </w:rPr>
            </w:pPr>
            <w:r>
              <w:rPr>
                <w:rFonts w:hint="eastAsia" w:ascii="宋体" w:hAnsi="宋体" w:cs="Courier New"/>
                <w:b/>
                <w:color w:val="auto"/>
                <w:sz w:val="24"/>
                <w:szCs w:val="21"/>
                <w:highlight w:val="none"/>
              </w:rPr>
              <w:t>数量</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ourier New"/>
                <w:b/>
                <w:color w:val="auto"/>
                <w:kern w:val="0"/>
                <w:sz w:val="24"/>
                <w:highlight w:val="none"/>
              </w:rPr>
            </w:pPr>
            <w:r>
              <w:rPr>
                <w:rFonts w:hint="eastAsia" w:ascii="宋体" w:hAnsi="宋体" w:cs="Courier New"/>
                <w:b/>
                <w:color w:val="auto"/>
                <w:sz w:val="24"/>
                <w:szCs w:val="21"/>
                <w:highlight w:val="none"/>
              </w:rPr>
              <w:t>单价</w:t>
            </w:r>
          </w:p>
          <w:p>
            <w:pPr>
              <w:autoSpaceDE w:val="0"/>
              <w:autoSpaceDN w:val="0"/>
              <w:adjustRightInd w:val="0"/>
              <w:jc w:val="center"/>
              <w:rPr>
                <w:rFonts w:ascii="宋体" w:hAnsi="宋体" w:cs="Courier New"/>
                <w:b/>
                <w:color w:val="auto"/>
                <w:sz w:val="24"/>
                <w:szCs w:val="21"/>
                <w:highlight w:val="none"/>
              </w:rPr>
            </w:pPr>
            <w:r>
              <w:rPr>
                <w:rFonts w:hint="eastAsia" w:ascii="宋体" w:hAnsi="宋体" w:cs="Courier New"/>
                <w:b/>
                <w:color w:val="auto"/>
                <w:sz w:val="24"/>
                <w:szCs w:val="21"/>
                <w:highlight w:val="none"/>
              </w:rPr>
              <w:t>（元）</w:t>
            </w: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ourier New"/>
                <w:b/>
                <w:color w:val="auto"/>
                <w:kern w:val="0"/>
                <w:sz w:val="24"/>
                <w:highlight w:val="none"/>
              </w:rPr>
            </w:pPr>
            <w:r>
              <w:rPr>
                <w:rFonts w:hint="eastAsia" w:ascii="宋体" w:hAnsi="宋体" w:cs="Courier New"/>
                <w:b/>
                <w:color w:val="auto"/>
                <w:sz w:val="24"/>
                <w:szCs w:val="21"/>
                <w:highlight w:val="none"/>
              </w:rPr>
              <w:t>总价</w:t>
            </w:r>
          </w:p>
          <w:p>
            <w:pPr>
              <w:autoSpaceDE w:val="0"/>
              <w:autoSpaceDN w:val="0"/>
              <w:adjustRightInd w:val="0"/>
              <w:jc w:val="center"/>
              <w:rPr>
                <w:rFonts w:ascii="宋体" w:hAnsi="宋体" w:cs="Courier New"/>
                <w:b/>
                <w:color w:val="auto"/>
                <w:sz w:val="24"/>
                <w:szCs w:val="21"/>
                <w:highlight w:val="none"/>
              </w:rPr>
            </w:pPr>
            <w:r>
              <w:rPr>
                <w:rFonts w:hint="eastAsia" w:ascii="宋体" w:hAnsi="宋体" w:cs="Courier New"/>
                <w:b/>
                <w:color w:val="auto"/>
                <w:sz w:val="24"/>
                <w:szCs w:val="21"/>
                <w:highlight w:val="none"/>
              </w:rPr>
              <w:t>（元）</w:t>
            </w:r>
          </w:p>
        </w:tc>
        <w:tc>
          <w:tcPr>
            <w:tcW w:w="13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ourier New"/>
                <w:b/>
                <w:color w:val="auto"/>
                <w:sz w:val="24"/>
                <w:szCs w:val="21"/>
                <w:highlight w:val="none"/>
              </w:rPr>
            </w:pPr>
            <w:r>
              <w:rPr>
                <w:rFonts w:hint="eastAsia" w:ascii="宋体" w:hAnsi="宋体" w:cs="Courier New"/>
                <w:b/>
                <w:color w:val="auto"/>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r>
              <w:rPr>
                <w:rFonts w:ascii="宋体" w:hAnsi="宋体" w:cs="Courier New"/>
                <w:color w:val="auto"/>
                <w:szCs w:val="21"/>
                <w:highlight w:val="none"/>
              </w:rPr>
              <w:t>1</w:t>
            </w:r>
          </w:p>
        </w:tc>
        <w:tc>
          <w:tcPr>
            <w:tcW w:w="3010" w:type="dxa"/>
            <w:tcBorders>
              <w:top w:val="single" w:color="auto" w:sz="4" w:space="0"/>
              <w:left w:val="single" w:color="auto" w:sz="4" w:space="0"/>
              <w:bottom w:val="single" w:color="auto" w:sz="4" w:space="0"/>
              <w:right w:val="single" w:color="auto" w:sz="4" w:space="0"/>
            </w:tcBorders>
            <w:vAlign w:val="center"/>
          </w:tcPr>
          <w:p>
            <w:pPr>
              <w:spacing w:line="360" w:lineRule="auto"/>
              <w:ind w:left="2"/>
              <w:jc w:val="center"/>
              <w:rPr>
                <w:rFonts w:ascii="宋体" w:hAnsi="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pacing w:val="-6"/>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Courier New"/>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r>
              <w:rPr>
                <w:rFonts w:ascii="宋体" w:hAnsi="宋体" w:cs="Courier New"/>
                <w:color w:val="auto"/>
                <w:szCs w:val="21"/>
                <w:highlight w:val="none"/>
              </w:rPr>
              <w:t>2</w:t>
            </w:r>
          </w:p>
        </w:tc>
        <w:tc>
          <w:tcPr>
            <w:tcW w:w="3010" w:type="dxa"/>
            <w:tcBorders>
              <w:top w:val="single" w:color="auto" w:sz="4" w:space="0"/>
              <w:left w:val="single" w:color="auto" w:sz="4" w:space="0"/>
              <w:bottom w:val="single" w:color="auto" w:sz="4" w:space="0"/>
              <w:right w:val="single" w:color="auto" w:sz="4" w:space="0"/>
            </w:tcBorders>
            <w:vAlign w:val="center"/>
          </w:tcPr>
          <w:p>
            <w:pPr>
              <w:spacing w:line="360" w:lineRule="auto"/>
              <w:ind w:left="2"/>
              <w:jc w:val="center"/>
              <w:rPr>
                <w:rFonts w:ascii="宋体" w:hAnsi="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pacing w:val="-6"/>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Courier New"/>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r>
              <w:rPr>
                <w:rFonts w:ascii="宋体" w:hAnsi="宋体" w:cs="Courier New"/>
                <w:color w:val="auto"/>
                <w:szCs w:val="21"/>
                <w:highlight w:val="none"/>
              </w:rPr>
              <w:t>3</w:t>
            </w:r>
          </w:p>
        </w:tc>
        <w:tc>
          <w:tcPr>
            <w:tcW w:w="30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其他费用</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pacing w:val="-6"/>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Courier New"/>
                <w:color w:val="auto"/>
                <w:spacing w:val="-6"/>
                <w:szCs w:val="21"/>
                <w:highlight w:val="none"/>
              </w:rPr>
            </w:pPr>
            <w:r>
              <w:rPr>
                <w:rFonts w:hint="eastAsia" w:ascii="宋体" w:hAnsi="宋体" w:cs="Courier New"/>
                <w:color w:val="auto"/>
                <w:spacing w:val="-6"/>
                <w:szCs w:val="21"/>
                <w:highlight w:val="none"/>
              </w:rPr>
              <w:t>如有，详细说明。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r>
              <w:rPr>
                <w:rFonts w:ascii="宋体" w:hAnsi="宋体" w:cs="Courier New"/>
                <w:color w:val="auto"/>
                <w:szCs w:val="21"/>
                <w:highlight w:val="none"/>
              </w:rPr>
              <w:t>4</w:t>
            </w:r>
          </w:p>
        </w:tc>
        <w:tc>
          <w:tcPr>
            <w:tcW w:w="30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pacing w:val="-6"/>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Courier New"/>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65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Courier New"/>
                <w:color w:val="auto"/>
                <w:spacing w:val="-6"/>
                <w:szCs w:val="21"/>
                <w:highlight w:val="none"/>
              </w:rPr>
            </w:pPr>
            <w:r>
              <w:rPr>
                <w:rFonts w:hint="eastAsia" w:ascii="宋体" w:hAnsi="宋体" w:cs="Courier New"/>
                <w:color w:val="auto"/>
                <w:spacing w:val="-6"/>
                <w:szCs w:val="21"/>
                <w:highlight w:val="none"/>
              </w:rPr>
              <w:t>磋商总报价（小写）：</w:t>
            </w:r>
            <w:r>
              <w:rPr>
                <w:rFonts w:ascii="宋体" w:hAnsi="宋体" w:cs="Courier New"/>
                <w:color w:val="auto"/>
                <w:spacing w:val="-6"/>
                <w:szCs w:val="21"/>
                <w:highlight w:val="none"/>
              </w:rPr>
              <w:t xml:space="preserve">                                    </w:t>
            </w:r>
            <w:r>
              <w:rPr>
                <w:rFonts w:hint="eastAsia" w:ascii="宋体" w:hAnsi="宋体" w:cs="Courier New"/>
                <w:color w:val="auto"/>
                <w:spacing w:val="-6"/>
                <w:szCs w:val="21"/>
                <w:highlight w:val="none"/>
              </w:rPr>
              <w:t>大写：</w:t>
            </w:r>
          </w:p>
        </w:tc>
      </w:tr>
    </w:tbl>
    <w:p>
      <w:pPr>
        <w:ind w:firstLine="315" w:firstLineChars="150"/>
        <w:rPr>
          <w:b/>
          <w:color w:val="auto"/>
          <w:highlight w:val="none"/>
        </w:rPr>
      </w:pPr>
    </w:p>
    <w:p>
      <w:pPr>
        <w:ind w:firstLine="420" w:firstLineChars="200"/>
        <w:rPr>
          <w:b/>
          <w:color w:val="auto"/>
          <w:highlight w:val="none"/>
        </w:rPr>
      </w:pPr>
      <w:r>
        <w:rPr>
          <w:rFonts w:hint="eastAsia"/>
          <w:b/>
          <w:color w:val="auto"/>
          <w:highlight w:val="none"/>
        </w:rPr>
        <w:t>注：</w:t>
      </w:r>
    </w:p>
    <w:p>
      <w:pPr>
        <w:ind w:firstLine="420" w:firstLineChars="200"/>
        <w:rPr>
          <w:rFonts w:ascii="宋体" w:hAnsi="宋体"/>
          <w:b/>
          <w:color w:val="auto"/>
          <w:highlight w:val="none"/>
        </w:rPr>
      </w:pPr>
      <w:r>
        <w:rPr>
          <w:rFonts w:ascii="宋体" w:hAnsi="宋体"/>
          <w:b/>
          <w:color w:val="auto"/>
          <w:highlight w:val="none"/>
        </w:rPr>
        <w:t>1</w:t>
      </w:r>
      <w:r>
        <w:rPr>
          <w:rFonts w:hint="eastAsia" w:ascii="宋体" w:hAnsi="宋体"/>
          <w:b/>
          <w:color w:val="auto"/>
          <w:highlight w:val="none"/>
        </w:rPr>
        <w:t>、此表依据磋商文件第五章“项目需求”的分项进行填写，“磋商总报价”金额应包括完成磋商文件“第五章</w:t>
      </w:r>
      <w:r>
        <w:rPr>
          <w:rFonts w:ascii="宋体" w:hAnsi="宋体"/>
          <w:b/>
          <w:color w:val="auto"/>
          <w:highlight w:val="none"/>
        </w:rPr>
        <w:t xml:space="preserve">  </w:t>
      </w:r>
      <w:r>
        <w:rPr>
          <w:rFonts w:hint="eastAsia" w:ascii="宋体" w:hAnsi="宋体"/>
          <w:b/>
          <w:color w:val="auto"/>
          <w:highlight w:val="none"/>
        </w:rPr>
        <w:t>项目需求”全部内容。需列明人员工资费用组成、保险缴纳费用情况、服装费、服务费、管理费、日常耗材等相关费用组成的说明及必要客观支撑材料。</w:t>
      </w:r>
    </w:p>
    <w:p>
      <w:pPr>
        <w:ind w:firstLine="420" w:firstLineChars="200"/>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、“磋商总报价”项金额应与“报价一览表”中磋商总报价一致。</w:t>
      </w:r>
    </w:p>
    <w:p>
      <w:pPr>
        <w:autoSpaceDE w:val="0"/>
        <w:autoSpaceDN w:val="0"/>
        <w:adjustRightInd w:val="0"/>
        <w:spacing w:line="360" w:lineRule="auto"/>
        <w:jc w:val="left"/>
        <w:rPr>
          <w:rFonts w:ascii="宋体" w:hAnsi="Courier New" w:cs="Courier New"/>
          <w:color w:val="auto"/>
          <w:szCs w:val="21"/>
          <w:highlight w:val="none"/>
        </w:rPr>
      </w:pPr>
    </w:p>
    <w:p>
      <w:pPr>
        <w:rPr>
          <w:color w:val="auto"/>
          <w:highlight w:val="none"/>
        </w:rPr>
      </w:pPr>
    </w:p>
    <w:p>
      <w:pPr>
        <w:rPr>
          <w:color w:val="auto"/>
          <w:highlight w:val="none"/>
        </w:rPr>
      </w:pPr>
    </w:p>
    <w:p>
      <w:pPr>
        <w:rPr>
          <w:rFonts w:ascii="宋体" w:hAnsi="宋体"/>
          <w:b/>
          <w:bCs/>
          <w:color w:val="auto"/>
          <w:sz w:val="32"/>
          <w:szCs w:val="32"/>
          <w:highlight w:val="none"/>
        </w:rPr>
      </w:pPr>
      <w:r>
        <w:rPr>
          <w:b/>
          <w:bCs/>
          <w:color w:val="auto"/>
          <w:highlight w:val="none"/>
        </w:rPr>
        <w:br w:type="page"/>
      </w:r>
      <w:bookmarkStart w:id="169" w:name="_Toc373844127"/>
      <w:bookmarkStart w:id="170" w:name="_Toc347849263"/>
      <w:bookmarkStart w:id="171" w:name="_Toc386046236"/>
      <w:bookmarkStart w:id="172" w:name="_Toc373844194"/>
      <w:bookmarkStart w:id="173" w:name="_Toc348011977"/>
      <w:r>
        <w:rPr>
          <w:rFonts w:hint="eastAsia" w:ascii="宋体" w:hAnsi="宋体"/>
          <w:b/>
          <w:bCs/>
          <w:color w:val="auto"/>
          <w:sz w:val="32"/>
          <w:szCs w:val="32"/>
          <w:highlight w:val="none"/>
        </w:rPr>
        <w:t>格式</w:t>
      </w:r>
      <w:bookmarkEnd w:id="169"/>
      <w:bookmarkEnd w:id="170"/>
      <w:bookmarkEnd w:id="171"/>
      <w:bookmarkEnd w:id="172"/>
      <w:bookmarkEnd w:id="173"/>
      <w:bookmarkStart w:id="174" w:name="_Toc373844197"/>
      <w:bookmarkStart w:id="175" w:name="_Toc373844130"/>
      <w:r>
        <w:rPr>
          <w:rFonts w:ascii="宋体" w:hAnsi="宋体"/>
          <w:b/>
          <w:bCs/>
          <w:color w:val="auto"/>
          <w:sz w:val="32"/>
          <w:szCs w:val="32"/>
          <w:highlight w:val="none"/>
        </w:rPr>
        <w:t xml:space="preserve">4 </w:t>
      </w:r>
      <w:bookmarkStart w:id="176" w:name="_Toc213141099"/>
      <w:bookmarkStart w:id="177" w:name="_Toc496122213"/>
      <w:bookmarkStart w:id="178" w:name="_Toc386046238"/>
    </w:p>
    <w:p>
      <w:pPr>
        <w:spacing w:line="360" w:lineRule="auto"/>
        <w:jc w:val="center"/>
        <w:outlineLvl w:val="2"/>
        <w:rPr>
          <w:rFonts w:hint="eastAsia" w:ascii="宋体" w:hAnsi="宋体"/>
          <w:b/>
          <w:color w:val="auto"/>
          <w:kern w:val="0"/>
          <w:sz w:val="32"/>
          <w:szCs w:val="32"/>
          <w:highlight w:val="none"/>
        </w:rPr>
      </w:pPr>
      <w:bookmarkStart w:id="179" w:name="_Toc347849258"/>
      <w:bookmarkStart w:id="180" w:name="_Toc383177376"/>
      <w:r>
        <w:rPr>
          <w:rFonts w:ascii="宋体" w:hAnsi="宋体"/>
          <w:b/>
          <w:color w:val="auto"/>
          <w:kern w:val="0"/>
          <w:sz w:val="32"/>
          <w:szCs w:val="32"/>
          <w:highlight w:val="none"/>
        </w:rPr>
        <w:t>商务条款偏离表</w:t>
      </w:r>
      <w:bookmarkEnd w:id="179"/>
      <w:bookmarkEnd w:id="180"/>
    </w:p>
    <w:p>
      <w:pPr>
        <w:autoSpaceDE w:val="0"/>
        <w:autoSpaceDN w:val="0"/>
        <w:adjustRightInd w:val="0"/>
        <w:spacing w:line="400" w:lineRule="exact"/>
        <w:ind w:firstLine="420" w:firstLineChars="200"/>
        <w:jc w:val="left"/>
        <w:rPr>
          <w:rFonts w:hint="eastAsia" w:ascii="宋体"/>
          <w:color w:val="auto"/>
          <w:kern w:val="0"/>
          <w:szCs w:val="21"/>
          <w:highlight w:val="none"/>
        </w:rPr>
      </w:pPr>
      <w:r>
        <w:rPr>
          <w:rFonts w:hint="eastAsia" w:ascii="宋体"/>
          <w:color w:val="auto"/>
          <w:kern w:val="0"/>
          <w:szCs w:val="21"/>
          <w:highlight w:val="none"/>
        </w:rPr>
        <w:t>供应商须逐条对应磋商文件中要求的商务条件，认真填写该表。</w:t>
      </w:r>
    </w:p>
    <w:p>
      <w:pPr>
        <w:autoSpaceDE w:val="0"/>
        <w:autoSpaceDN w:val="0"/>
        <w:adjustRightInd w:val="0"/>
        <w:spacing w:line="400" w:lineRule="exact"/>
        <w:ind w:firstLine="420" w:firstLineChars="200"/>
        <w:jc w:val="left"/>
        <w:rPr>
          <w:rFonts w:hint="eastAsia" w:ascii="宋体"/>
          <w:color w:val="auto"/>
          <w:kern w:val="0"/>
          <w:szCs w:val="21"/>
          <w:highlight w:val="none"/>
        </w:rPr>
      </w:pPr>
      <w:r>
        <w:rPr>
          <w:rFonts w:hint="eastAsia" w:ascii="宋体"/>
          <w:color w:val="auto"/>
          <w:kern w:val="0"/>
          <w:szCs w:val="21"/>
          <w:highlight w:val="none"/>
        </w:rPr>
        <w:t>商务条件是指：磋商文件第五章和磋商文件中要求的</w:t>
      </w:r>
      <w:r>
        <w:rPr>
          <w:rFonts w:hint="eastAsia" w:ascii="宋体"/>
          <w:b/>
          <w:color w:val="auto"/>
          <w:kern w:val="0"/>
          <w:szCs w:val="21"/>
          <w:highlight w:val="none"/>
        </w:rPr>
        <w:t>服务及信誉部分、付款方式等要求。</w:t>
      </w:r>
    </w:p>
    <w:p>
      <w:pPr>
        <w:autoSpaceDE w:val="0"/>
        <w:autoSpaceDN w:val="0"/>
        <w:adjustRightInd w:val="0"/>
        <w:jc w:val="left"/>
        <w:rPr>
          <w:rFonts w:hint="eastAsia" w:ascii="宋体"/>
          <w:b/>
          <w:color w:val="auto"/>
          <w:kern w:val="0"/>
          <w:sz w:val="24"/>
          <w:highlight w:val="none"/>
        </w:rPr>
      </w:pPr>
    </w:p>
    <w:p>
      <w:pPr>
        <w:autoSpaceDE w:val="0"/>
        <w:autoSpaceDN w:val="0"/>
        <w:adjustRightInd w:val="0"/>
        <w:jc w:val="left"/>
        <w:rPr>
          <w:rFonts w:hint="eastAsia" w:ascii="宋体"/>
          <w:b/>
          <w:color w:val="auto"/>
          <w:kern w:val="0"/>
          <w:sz w:val="24"/>
          <w:highlight w:val="none"/>
          <w:u w:val="single"/>
        </w:rPr>
      </w:pPr>
      <w:r>
        <w:rPr>
          <w:rFonts w:hint="eastAsia" w:ascii="宋体"/>
          <w:b/>
          <w:color w:val="auto"/>
          <w:kern w:val="0"/>
          <w:sz w:val="24"/>
          <w:highlight w:val="none"/>
        </w:rPr>
        <w:t>项目名称：</w:t>
      </w:r>
      <w:r>
        <w:rPr>
          <w:rFonts w:hint="eastAsia" w:ascii="宋体"/>
          <w:b/>
          <w:color w:val="auto"/>
          <w:kern w:val="0"/>
          <w:sz w:val="24"/>
          <w:highlight w:val="none"/>
          <w:u w:val="single"/>
        </w:rPr>
        <w:t xml:space="preserve">          </w:t>
      </w:r>
      <w:r>
        <w:rPr>
          <w:rFonts w:hint="eastAsia" w:ascii="宋体"/>
          <w:b/>
          <w:color w:val="auto"/>
          <w:kern w:val="0"/>
          <w:sz w:val="24"/>
          <w:highlight w:val="none"/>
        </w:rPr>
        <w:t xml:space="preserve">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90"/>
        <w:gridCol w:w="2646"/>
        <w:gridCol w:w="2471"/>
        <w:gridCol w:w="14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32" w:type="dxa"/>
            <w:vAlign w:val="center"/>
          </w:tcPr>
          <w:p>
            <w:pPr>
              <w:autoSpaceDE w:val="0"/>
              <w:autoSpaceDN w:val="0"/>
              <w:adjustRightInd w:val="0"/>
              <w:jc w:val="center"/>
              <w:rPr>
                <w:rFonts w:hint="eastAsia" w:ascii="宋体"/>
                <w:b/>
                <w:color w:val="auto"/>
                <w:kern w:val="0"/>
                <w:szCs w:val="21"/>
                <w:highlight w:val="none"/>
              </w:rPr>
            </w:pPr>
            <w:r>
              <w:rPr>
                <w:rFonts w:hint="eastAsia" w:ascii="宋体"/>
                <w:b/>
                <w:color w:val="auto"/>
                <w:kern w:val="0"/>
                <w:szCs w:val="21"/>
                <w:highlight w:val="none"/>
              </w:rPr>
              <w:t>序号</w:t>
            </w:r>
          </w:p>
        </w:tc>
        <w:tc>
          <w:tcPr>
            <w:tcW w:w="1090" w:type="dxa"/>
            <w:vAlign w:val="center"/>
          </w:tcPr>
          <w:p>
            <w:pPr>
              <w:autoSpaceDE w:val="0"/>
              <w:autoSpaceDN w:val="0"/>
              <w:adjustRightInd w:val="0"/>
              <w:jc w:val="center"/>
              <w:rPr>
                <w:rFonts w:hint="eastAsia" w:ascii="宋体"/>
                <w:b/>
                <w:color w:val="auto"/>
                <w:kern w:val="0"/>
                <w:szCs w:val="21"/>
                <w:highlight w:val="none"/>
              </w:rPr>
            </w:pPr>
            <w:r>
              <w:rPr>
                <w:rFonts w:hint="eastAsia" w:ascii="宋体"/>
                <w:b/>
                <w:color w:val="auto"/>
                <w:kern w:val="0"/>
                <w:szCs w:val="21"/>
                <w:highlight w:val="none"/>
              </w:rPr>
              <w:t>磋商文件页码及条目号</w:t>
            </w:r>
          </w:p>
        </w:tc>
        <w:tc>
          <w:tcPr>
            <w:tcW w:w="2646" w:type="dxa"/>
            <w:vAlign w:val="center"/>
          </w:tcPr>
          <w:p>
            <w:pPr>
              <w:autoSpaceDE w:val="0"/>
              <w:autoSpaceDN w:val="0"/>
              <w:adjustRightInd w:val="0"/>
              <w:jc w:val="center"/>
              <w:rPr>
                <w:rFonts w:hint="eastAsia" w:ascii="宋体"/>
                <w:b/>
                <w:color w:val="auto"/>
                <w:kern w:val="0"/>
                <w:szCs w:val="21"/>
                <w:highlight w:val="none"/>
              </w:rPr>
            </w:pPr>
            <w:r>
              <w:rPr>
                <w:rFonts w:hint="eastAsia" w:ascii="宋体"/>
                <w:b/>
                <w:color w:val="auto"/>
                <w:kern w:val="0"/>
                <w:szCs w:val="21"/>
                <w:highlight w:val="none"/>
              </w:rPr>
              <w:t>磋商文件的商务条款</w:t>
            </w:r>
          </w:p>
        </w:tc>
        <w:tc>
          <w:tcPr>
            <w:tcW w:w="2471" w:type="dxa"/>
            <w:vAlign w:val="center"/>
          </w:tcPr>
          <w:p>
            <w:pPr>
              <w:autoSpaceDE w:val="0"/>
              <w:autoSpaceDN w:val="0"/>
              <w:adjustRightInd w:val="0"/>
              <w:jc w:val="center"/>
              <w:rPr>
                <w:rFonts w:hint="eastAsia" w:ascii="宋体"/>
                <w:b/>
                <w:color w:val="auto"/>
                <w:kern w:val="0"/>
                <w:szCs w:val="21"/>
                <w:highlight w:val="none"/>
              </w:rPr>
            </w:pPr>
            <w:r>
              <w:rPr>
                <w:rFonts w:hint="eastAsia" w:ascii="宋体"/>
                <w:b/>
                <w:color w:val="auto"/>
                <w:kern w:val="0"/>
                <w:szCs w:val="21"/>
                <w:highlight w:val="none"/>
              </w:rPr>
              <w:t>响应文件的商务条款</w:t>
            </w:r>
          </w:p>
        </w:tc>
        <w:tc>
          <w:tcPr>
            <w:tcW w:w="1491" w:type="dxa"/>
            <w:vAlign w:val="center"/>
          </w:tcPr>
          <w:p>
            <w:pPr>
              <w:autoSpaceDE w:val="0"/>
              <w:autoSpaceDN w:val="0"/>
              <w:adjustRightInd w:val="0"/>
              <w:jc w:val="center"/>
              <w:rPr>
                <w:rFonts w:hint="eastAsia" w:ascii="宋体"/>
                <w:b/>
                <w:color w:val="auto"/>
                <w:kern w:val="0"/>
                <w:szCs w:val="21"/>
                <w:highlight w:val="none"/>
              </w:rPr>
            </w:pPr>
            <w:r>
              <w:rPr>
                <w:rFonts w:hint="eastAsia" w:ascii="宋体"/>
                <w:b/>
                <w:color w:val="auto"/>
                <w:kern w:val="0"/>
                <w:szCs w:val="21"/>
                <w:highlight w:val="none"/>
              </w:rPr>
              <w:t>响应情况说明</w:t>
            </w:r>
          </w:p>
        </w:tc>
        <w:tc>
          <w:tcPr>
            <w:tcW w:w="1276" w:type="dxa"/>
            <w:vAlign w:val="center"/>
          </w:tcPr>
          <w:p>
            <w:pPr>
              <w:autoSpaceDE w:val="0"/>
              <w:autoSpaceDN w:val="0"/>
              <w:adjustRightInd w:val="0"/>
              <w:jc w:val="center"/>
              <w:rPr>
                <w:rFonts w:hint="eastAsia" w:ascii="宋体"/>
                <w:b/>
                <w:color w:val="auto"/>
                <w:kern w:val="0"/>
                <w:szCs w:val="21"/>
                <w:highlight w:val="none"/>
              </w:rPr>
            </w:pPr>
            <w:r>
              <w:rPr>
                <w:rFonts w:hint="eastAsia" w:ascii="宋体"/>
                <w:b/>
                <w:bCs/>
                <w:color w:val="auto"/>
                <w:kern w:val="0"/>
                <w:szCs w:val="21"/>
                <w:highlight w:val="none"/>
              </w:rPr>
              <w:t>商务条件支持资料索引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2" w:type="dxa"/>
          </w:tcPr>
          <w:p>
            <w:pPr>
              <w:autoSpaceDE w:val="0"/>
              <w:autoSpaceDN w:val="0"/>
              <w:adjustRightInd w:val="0"/>
              <w:jc w:val="left"/>
              <w:rPr>
                <w:rFonts w:hint="eastAsia" w:ascii="宋体"/>
                <w:color w:val="auto"/>
                <w:kern w:val="0"/>
                <w:szCs w:val="21"/>
                <w:highlight w:val="none"/>
              </w:rPr>
            </w:pPr>
          </w:p>
        </w:tc>
        <w:tc>
          <w:tcPr>
            <w:tcW w:w="1090" w:type="dxa"/>
          </w:tcPr>
          <w:p>
            <w:pPr>
              <w:autoSpaceDE w:val="0"/>
              <w:autoSpaceDN w:val="0"/>
              <w:adjustRightInd w:val="0"/>
              <w:jc w:val="left"/>
              <w:rPr>
                <w:rFonts w:hint="eastAsia" w:ascii="宋体"/>
                <w:color w:val="auto"/>
                <w:kern w:val="0"/>
                <w:szCs w:val="21"/>
                <w:highlight w:val="none"/>
              </w:rPr>
            </w:pPr>
          </w:p>
        </w:tc>
        <w:tc>
          <w:tcPr>
            <w:tcW w:w="2646" w:type="dxa"/>
          </w:tcPr>
          <w:p>
            <w:pPr>
              <w:autoSpaceDE w:val="0"/>
              <w:autoSpaceDN w:val="0"/>
              <w:adjustRightInd w:val="0"/>
              <w:jc w:val="left"/>
              <w:rPr>
                <w:rFonts w:hint="eastAsia" w:ascii="宋体"/>
                <w:color w:val="auto"/>
                <w:kern w:val="0"/>
                <w:szCs w:val="21"/>
                <w:highlight w:val="none"/>
              </w:rPr>
            </w:pPr>
          </w:p>
        </w:tc>
        <w:tc>
          <w:tcPr>
            <w:tcW w:w="2471" w:type="dxa"/>
          </w:tcPr>
          <w:p>
            <w:pPr>
              <w:autoSpaceDE w:val="0"/>
              <w:autoSpaceDN w:val="0"/>
              <w:adjustRightInd w:val="0"/>
              <w:jc w:val="left"/>
              <w:rPr>
                <w:rFonts w:hint="eastAsia" w:ascii="宋体"/>
                <w:color w:val="auto"/>
                <w:kern w:val="0"/>
                <w:szCs w:val="21"/>
                <w:highlight w:val="none"/>
              </w:rPr>
            </w:pPr>
          </w:p>
        </w:tc>
        <w:tc>
          <w:tcPr>
            <w:tcW w:w="1491" w:type="dxa"/>
          </w:tcPr>
          <w:p>
            <w:pPr>
              <w:autoSpaceDE w:val="0"/>
              <w:autoSpaceDN w:val="0"/>
              <w:adjustRightInd w:val="0"/>
              <w:jc w:val="left"/>
              <w:rPr>
                <w:rFonts w:hint="eastAsia" w:ascii="宋体"/>
                <w:color w:val="auto"/>
                <w:kern w:val="0"/>
                <w:szCs w:val="21"/>
                <w:highlight w:val="none"/>
              </w:rPr>
            </w:pPr>
          </w:p>
        </w:tc>
        <w:tc>
          <w:tcPr>
            <w:tcW w:w="1276" w:type="dxa"/>
          </w:tcPr>
          <w:p>
            <w:pPr>
              <w:autoSpaceDE w:val="0"/>
              <w:autoSpaceDN w:val="0"/>
              <w:adjustRightInd w:val="0"/>
              <w:jc w:val="left"/>
              <w:rPr>
                <w:rFonts w:hint="eastAsia" w:ascii="宋体"/>
                <w:color w:val="auto"/>
                <w:kern w:val="0"/>
                <w:szCs w:val="21"/>
                <w:highlight w:val="none"/>
              </w:rPr>
            </w:pPr>
          </w:p>
        </w:tc>
      </w:tr>
    </w:tbl>
    <w:p>
      <w:pPr>
        <w:autoSpaceDE w:val="0"/>
        <w:autoSpaceDN w:val="0"/>
        <w:adjustRightInd w:val="0"/>
        <w:spacing w:line="600" w:lineRule="exact"/>
        <w:jc w:val="left"/>
        <w:rPr>
          <w:rFonts w:hint="eastAsia" w:ascii="宋体"/>
          <w:b/>
          <w:color w:val="auto"/>
          <w:kern w:val="0"/>
          <w:szCs w:val="21"/>
          <w:highlight w:val="none"/>
        </w:rPr>
      </w:pPr>
      <w:r>
        <w:rPr>
          <w:rFonts w:hint="eastAsia" w:ascii="宋体"/>
          <w:b/>
          <w:color w:val="auto"/>
          <w:kern w:val="0"/>
          <w:szCs w:val="21"/>
          <w:highlight w:val="none"/>
        </w:rPr>
        <w:t>注：对于报价产品商务条件响应要求需有证明材料支持的，必须在响应文件中提供证明材料，并将该证明材料索引（页码及条目号等）标注在“</w:t>
      </w:r>
      <w:r>
        <w:rPr>
          <w:rFonts w:hint="eastAsia" w:ascii="宋体"/>
          <w:b/>
          <w:bCs/>
          <w:color w:val="auto"/>
          <w:kern w:val="0"/>
          <w:szCs w:val="21"/>
          <w:highlight w:val="none"/>
        </w:rPr>
        <w:t>商务条件支持资料索引</w:t>
      </w:r>
      <w:r>
        <w:rPr>
          <w:rFonts w:hint="eastAsia" w:ascii="宋体"/>
          <w:b/>
          <w:color w:val="auto"/>
          <w:kern w:val="0"/>
          <w:szCs w:val="21"/>
          <w:highlight w:val="none"/>
        </w:rPr>
        <w:t>”中。</w:t>
      </w:r>
    </w:p>
    <w:p>
      <w:pPr>
        <w:spacing w:line="360" w:lineRule="auto"/>
        <w:ind w:firstLine="2" w:firstLineChars="1"/>
        <w:rPr>
          <w:rFonts w:hint="eastAsia"/>
          <w:color w:val="auto"/>
          <w:szCs w:val="21"/>
          <w:highlight w:val="none"/>
        </w:rPr>
      </w:pPr>
    </w:p>
    <w:p>
      <w:pPr>
        <w:spacing w:line="360" w:lineRule="auto"/>
        <w:ind w:firstLine="2" w:firstLineChars="1"/>
        <w:rPr>
          <w:color w:val="auto"/>
          <w:szCs w:val="21"/>
          <w:highlight w:val="none"/>
        </w:rPr>
      </w:pPr>
      <w:r>
        <w:rPr>
          <w:color w:val="auto"/>
          <w:szCs w:val="21"/>
          <w:highlight w:val="none"/>
        </w:rPr>
        <w:t>供应商：</w:t>
      </w:r>
      <w:r>
        <w:rPr>
          <w:color w:val="auto"/>
          <w:szCs w:val="21"/>
          <w:highlight w:val="none"/>
          <w:u w:val="single"/>
        </w:rPr>
        <w:t xml:space="preserve">                                 </w:t>
      </w:r>
      <w:r>
        <w:rPr>
          <w:color w:val="auto"/>
          <w:szCs w:val="21"/>
          <w:highlight w:val="none"/>
        </w:rPr>
        <w:t>（盖单位章）</w:t>
      </w:r>
    </w:p>
    <w:p>
      <w:pPr>
        <w:spacing w:line="360" w:lineRule="auto"/>
        <w:ind w:firstLine="2" w:firstLineChars="1"/>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pPr>
        <w:spacing w:line="360" w:lineRule="auto"/>
        <w:ind w:firstLine="2" w:firstLineChars="1"/>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360" w:lineRule="auto"/>
        <w:ind w:firstLine="2" w:firstLineChars="1"/>
        <w:rPr>
          <w:rFonts w:ascii="宋体" w:hAnsi="宋体"/>
          <w:b/>
          <w:color w:val="auto"/>
          <w:szCs w:val="21"/>
          <w:highlight w:val="none"/>
        </w:rPr>
      </w:pPr>
    </w:p>
    <w:p>
      <w:pPr>
        <w:spacing w:line="360" w:lineRule="auto"/>
        <w:rPr>
          <w:rFonts w:ascii="宋体" w:hAnsi="宋体"/>
          <w:color w:val="auto"/>
          <w:sz w:val="24"/>
          <w:highlight w:val="none"/>
        </w:rPr>
      </w:pPr>
    </w:p>
    <w:p>
      <w:pPr>
        <w:rPr>
          <w:color w:val="auto"/>
          <w:highlight w:val="none"/>
        </w:rPr>
      </w:pPr>
    </w:p>
    <w:p>
      <w:pPr>
        <w:rPr>
          <w:rFonts w:ascii="宋体" w:hAnsi="宋体"/>
          <w:b/>
          <w:bCs/>
          <w:color w:val="auto"/>
          <w:sz w:val="32"/>
          <w:szCs w:val="32"/>
          <w:highlight w:val="none"/>
        </w:rPr>
      </w:pPr>
      <w:r>
        <w:rPr>
          <w:color w:val="auto"/>
          <w:highlight w:val="none"/>
        </w:rPr>
        <w:br w:type="page"/>
      </w:r>
      <w:r>
        <w:rPr>
          <w:rFonts w:hint="eastAsia" w:ascii="宋体" w:hAnsi="宋体"/>
          <w:b/>
          <w:bCs/>
          <w:color w:val="auto"/>
          <w:sz w:val="32"/>
          <w:szCs w:val="32"/>
          <w:highlight w:val="none"/>
        </w:rPr>
        <w:t>格式</w:t>
      </w:r>
      <w:r>
        <w:rPr>
          <w:rFonts w:ascii="宋体" w:hAnsi="宋体"/>
          <w:b/>
          <w:bCs/>
          <w:color w:val="auto"/>
          <w:sz w:val="32"/>
          <w:szCs w:val="32"/>
          <w:highlight w:val="none"/>
        </w:rPr>
        <w:t xml:space="preserve">5 </w:t>
      </w:r>
    </w:p>
    <w:bookmarkEnd w:id="176"/>
    <w:bookmarkEnd w:id="177"/>
    <w:p>
      <w:pPr>
        <w:keepNext/>
        <w:keepLines/>
        <w:spacing w:before="156" w:beforeLines="50" w:after="156" w:afterLines="50" w:line="500" w:lineRule="exact"/>
        <w:jc w:val="center"/>
        <w:outlineLvl w:val="1"/>
        <w:rPr>
          <w:rFonts w:ascii="宋体" w:hAnsi="宋体"/>
          <w:b/>
          <w:bCs/>
          <w:color w:val="auto"/>
          <w:kern w:val="0"/>
          <w:sz w:val="36"/>
          <w:szCs w:val="32"/>
          <w:highlight w:val="none"/>
          <w:lang w:val="zh-CN" w:eastAsia="zh-CN"/>
        </w:rPr>
      </w:pPr>
      <w:r>
        <w:rPr>
          <w:rFonts w:hint="eastAsia" w:ascii="宋体" w:hAnsi="宋体"/>
          <w:b/>
          <w:bCs/>
          <w:color w:val="auto"/>
          <w:kern w:val="0"/>
          <w:sz w:val="36"/>
          <w:szCs w:val="32"/>
          <w:highlight w:val="none"/>
          <w:lang w:val="zh-CN" w:eastAsia="zh-CN"/>
        </w:rPr>
        <w:t>项目实施方案</w:t>
      </w:r>
    </w:p>
    <w:p>
      <w:pPr>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1）项目及人员管理制度；</w:t>
      </w:r>
    </w:p>
    <w:p>
      <w:pPr>
        <w:spacing w:line="46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2）人员招聘方案及培训；</w:t>
      </w:r>
    </w:p>
    <w:p>
      <w:pPr>
        <w:spacing w:line="460" w:lineRule="exact"/>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）人员配置方案；</w:t>
      </w:r>
    </w:p>
    <w:p>
      <w:pPr>
        <w:spacing w:line="460" w:lineRule="exact"/>
        <w:ind w:firstLine="480" w:firstLineChars="200"/>
        <w:rPr>
          <w:rFonts w:hint="eastAsia"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）人员应急保障措施；</w:t>
      </w:r>
    </w:p>
    <w:p>
      <w:pPr>
        <w:spacing w:line="460" w:lineRule="exact"/>
        <w:ind w:firstLine="480" w:firstLineChars="200"/>
        <w:rPr>
          <w:rFonts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）足额发放人员工资保障措施；</w:t>
      </w:r>
    </w:p>
    <w:p>
      <w:pPr>
        <w:spacing w:line="46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6）服务承诺；</w:t>
      </w:r>
    </w:p>
    <w:p>
      <w:pPr>
        <w:spacing w:line="460" w:lineRule="exact"/>
        <w:ind w:firstLine="480" w:firstLineChars="200"/>
        <w:rPr>
          <w:rFonts w:ascii="宋体" w:hAns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w:t>
      </w:r>
      <w:r>
        <w:rPr>
          <w:rFonts w:ascii="宋体" w:hAnsi="宋体"/>
          <w:bCs/>
          <w:color w:val="auto"/>
          <w:sz w:val="24"/>
          <w:highlight w:val="none"/>
        </w:rPr>
        <w:t>…………</w:t>
      </w:r>
    </w:p>
    <w:p>
      <w:pPr>
        <w:spacing w:line="460" w:lineRule="exact"/>
        <w:ind w:firstLine="480" w:firstLineChars="200"/>
        <w:rPr>
          <w:rFonts w:ascii="宋体" w:hAnsi="宋体"/>
          <w:b/>
          <w:color w:val="auto"/>
          <w:sz w:val="24"/>
          <w:highlight w:val="none"/>
        </w:rPr>
      </w:pPr>
      <w:r>
        <w:rPr>
          <w:rFonts w:hint="eastAsia" w:ascii="宋体" w:hAnsi="宋体"/>
          <w:bCs/>
          <w:color w:val="auto"/>
          <w:sz w:val="24"/>
          <w:highlight w:val="none"/>
        </w:rPr>
        <w:t>（以上格式均由供应商自拟）。</w:t>
      </w:r>
    </w:p>
    <w:p>
      <w:pPr>
        <w:spacing w:line="440" w:lineRule="exact"/>
        <w:rPr>
          <w:rFonts w:ascii="宋体" w:hAnsi="宋体"/>
          <w:color w:val="auto"/>
          <w:szCs w:val="21"/>
          <w:highlight w:val="none"/>
        </w:rPr>
      </w:pPr>
    </w:p>
    <w:p>
      <w:pPr>
        <w:spacing w:line="360" w:lineRule="auto"/>
        <w:ind w:firstLine="2" w:firstLineChars="1"/>
        <w:rPr>
          <w:rFonts w:ascii="宋体" w:hAnsi="宋体"/>
          <w:b/>
          <w:color w:val="auto"/>
          <w:szCs w:val="21"/>
          <w:highlight w:val="none"/>
        </w:rPr>
      </w:pPr>
    </w:p>
    <w:p>
      <w:pPr>
        <w:spacing w:line="360" w:lineRule="auto"/>
        <w:ind w:firstLine="2" w:firstLineChars="1"/>
        <w:rPr>
          <w:rFonts w:ascii="宋体" w:hAnsi="宋体"/>
          <w:b/>
          <w:color w:val="auto"/>
          <w:szCs w:val="21"/>
          <w:highlight w:val="none"/>
        </w:rPr>
      </w:pPr>
    </w:p>
    <w:p>
      <w:pPr>
        <w:spacing w:line="360" w:lineRule="auto"/>
        <w:ind w:firstLine="2" w:firstLineChars="1"/>
        <w:rPr>
          <w:rFonts w:ascii="宋体" w:hAnsi="宋体"/>
          <w:b/>
          <w:color w:val="auto"/>
          <w:szCs w:val="21"/>
          <w:highlight w:val="none"/>
        </w:rPr>
      </w:pPr>
      <w:r>
        <w:rPr>
          <w:rFonts w:hint="eastAsia" w:ascii="宋体" w:hAnsi="宋体"/>
          <w:b/>
          <w:color w:val="auto"/>
          <w:szCs w:val="21"/>
          <w:highlight w:val="none"/>
        </w:rPr>
        <w:t>供应商</w:t>
      </w:r>
      <w:r>
        <w:rPr>
          <w:rFonts w:ascii="宋体" w:hAnsi="宋体"/>
          <w:b/>
          <w:color w:val="auto"/>
          <w:szCs w:val="21"/>
          <w:highlight w:val="none"/>
        </w:rPr>
        <w:t>：</w:t>
      </w:r>
      <w:r>
        <w:rPr>
          <w:rFonts w:ascii="宋体" w:hAnsi="宋体"/>
          <w:b/>
          <w:color w:val="auto"/>
          <w:szCs w:val="21"/>
          <w:highlight w:val="none"/>
          <w:u w:val="single"/>
        </w:rPr>
        <w:t xml:space="preserve">                                 </w:t>
      </w:r>
      <w:r>
        <w:rPr>
          <w:rFonts w:ascii="宋体" w:hAnsi="宋体"/>
          <w:b/>
          <w:color w:val="auto"/>
          <w:szCs w:val="21"/>
          <w:highlight w:val="none"/>
        </w:rPr>
        <w:t>（</w:t>
      </w:r>
      <w:r>
        <w:rPr>
          <w:rFonts w:hint="eastAsia" w:ascii="宋体" w:hAnsi="宋体"/>
          <w:b/>
          <w:color w:val="auto"/>
          <w:szCs w:val="21"/>
          <w:highlight w:val="none"/>
        </w:rPr>
        <w:t>加盖单位公章</w:t>
      </w:r>
      <w:r>
        <w:rPr>
          <w:rFonts w:ascii="宋体" w:hAnsi="宋体"/>
          <w:b/>
          <w:color w:val="auto"/>
          <w:szCs w:val="21"/>
          <w:highlight w:val="none"/>
        </w:rPr>
        <w:t>）</w:t>
      </w:r>
    </w:p>
    <w:p>
      <w:pPr>
        <w:spacing w:line="360" w:lineRule="auto"/>
        <w:ind w:firstLine="2" w:firstLineChars="1"/>
        <w:rPr>
          <w:rFonts w:ascii="宋体" w:hAnsi="宋体"/>
          <w:b/>
          <w:color w:val="auto"/>
          <w:szCs w:val="21"/>
          <w:highlight w:val="none"/>
        </w:rPr>
      </w:pPr>
      <w:r>
        <w:rPr>
          <w:rFonts w:ascii="宋体" w:hAnsi="宋体"/>
          <w:b/>
          <w:color w:val="auto"/>
          <w:szCs w:val="21"/>
          <w:highlight w:val="none"/>
        </w:rPr>
        <w:t>法定代表人</w:t>
      </w:r>
      <w:r>
        <w:rPr>
          <w:rFonts w:hint="eastAsia" w:ascii="宋体" w:hAnsi="宋体"/>
          <w:b/>
          <w:color w:val="auto"/>
          <w:szCs w:val="21"/>
          <w:highlight w:val="none"/>
        </w:rPr>
        <w:t>或授权代理人（签字或盖章）</w:t>
      </w:r>
      <w:r>
        <w:rPr>
          <w:rFonts w:ascii="宋体" w:hAnsi="宋体"/>
          <w:b/>
          <w:color w:val="auto"/>
          <w:szCs w:val="21"/>
          <w:highlight w:val="none"/>
        </w:rPr>
        <w:t>：</w:t>
      </w:r>
      <w:r>
        <w:rPr>
          <w:rFonts w:ascii="宋体" w:hAnsi="宋体"/>
          <w:b/>
          <w:color w:val="auto"/>
          <w:szCs w:val="21"/>
          <w:highlight w:val="none"/>
          <w:u w:val="single"/>
        </w:rPr>
        <w:t xml:space="preserve">               </w:t>
      </w:r>
      <w:r>
        <w:rPr>
          <w:rFonts w:ascii="宋体" w:hAnsi="宋体"/>
          <w:b/>
          <w:color w:val="auto"/>
          <w:szCs w:val="21"/>
          <w:highlight w:val="none"/>
        </w:rPr>
        <w:t xml:space="preserve"> </w:t>
      </w:r>
    </w:p>
    <w:p>
      <w:pPr>
        <w:spacing w:line="360" w:lineRule="auto"/>
        <w:ind w:firstLine="2" w:firstLineChars="1"/>
        <w:rPr>
          <w:rFonts w:ascii="宋体" w:hAnsi="宋体"/>
          <w:b/>
          <w:color w:val="auto"/>
          <w:szCs w:val="21"/>
          <w:highlight w:val="none"/>
        </w:rPr>
      </w:pPr>
      <w:r>
        <w:rPr>
          <w:rFonts w:ascii="宋体" w:hAnsi="宋体"/>
          <w:b/>
          <w:color w:val="auto"/>
          <w:szCs w:val="21"/>
          <w:highlight w:val="none"/>
          <w:u w:val="single"/>
        </w:rPr>
        <w:t xml:space="preserve">            </w:t>
      </w:r>
      <w:r>
        <w:rPr>
          <w:rFonts w:ascii="宋体" w:hAnsi="宋体"/>
          <w:b/>
          <w:color w:val="auto"/>
          <w:szCs w:val="21"/>
          <w:highlight w:val="none"/>
        </w:rPr>
        <w:t>年</w:t>
      </w:r>
      <w:r>
        <w:rPr>
          <w:rFonts w:ascii="宋体" w:hAnsi="宋体"/>
          <w:b/>
          <w:color w:val="auto"/>
          <w:szCs w:val="21"/>
          <w:highlight w:val="none"/>
          <w:u w:val="single"/>
        </w:rPr>
        <w:t xml:space="preserve">       </w:t>
      </w:r>
      <w:r>
        <w:rPr>
          <w:rFonts w:ascii="宋体" w:hAnsi="宋体"/>
          <w:b/>
          <w:color w:val="auto"/>
          <w:szCs w:val="21"/>
          <w:highlight w:val="none"/>
        </w:rPr>
        <w:t>月</w:t>
      </w:r>
      <w:r>
        <w:rPr>
          <w:rFonts w:ascii="宋体" w:hAnsi="宋体"/>
          <w:b/>
          <w:color w:val="auto"/>
          <w:szCs w:val="21"/>
          <w:highlight w:val="none"/>
          <w:u w:val="single"/>
        </w:rPr>
        <w:t xml:space="preserve">       </w:t>
      </w:r>
      <w:r>
        <w:rPr>
          <w:rFonts w:ascii="宋体" w:hAnsi="宋体"/>
          <w:b/>
          <w:color w:val="auto"/>
          <w:szCs w:val="21"/>
          <w:highlight w:val="none"/>
        </w:rPr>
        <w:t>日</w:t>
      </w:r>
    </w:p>
    <w:p>
      <w:pPr>
        <w:rPr>
          <w:rFonts w:ascii="宋体" w:hAnsi="宋体"/>
          <w:color w:val="auto"/>
          <w:szCs w:val="21"/>
          <w:highlight w:val="none"/>
        </w:rPr>
      </w:pPr>
      <w:r>
        <w:rPr>
          <w:rFonts w:ascii="宋体" w:hAnsi="宋体"/>
          <w:bCs/>
          <w:color w:val="auto"/>
          <w:highlight w:val="none"/>
        </w:rPr>
        <w:br w:type="page"/>
      </w:r>
      <w:bookmarkEnd w:id="178"/>
    </w:p>
    <w:p>
      <w:pPr>
        <w:keepNext/>
        <w:keepLines/>
        <w:spacing w:before="120" w:after="120" w:line="360" w:lineRule="auto"/>
        <w:jc w:val="left"/>
        <w:outlineLvl w:val="1"/>
        <w:rPr>
          <w:rFonts w:ascii="宋体" w:hAnsi="宋体"/>
          <w:b/>
          <w:color w:val="auto"/>
          <w:kern w:val="0"/>
          <w:sz w:val="32"/>
          <w:szCs w:val="32"/>
          <w:highlight w:val="none"/>
        </w:rPr>
      </w:pPr>
      <w:bookmarkStart w:id="181" w:name="_Toc386046243"/>
      <w:r>
        <w:rPr>
          <w:rFonts w:hint="eastAsia" w:ascii="宋体" w:hAnsi="宋体"/>
          <w:b/>
          <w:color w:val="auto"/>
          <w:kern w:val="0"/>
          <w:sz w:val="32"/>
          <w:szCs w:val="32"/>
          <w:highlight w:val="none"/>
        </w:rPr>
        <w:t>格式</w:t>
      </w:r>
      <w:bookmarkEnd w:id="181"/>
      <w:r>
        <w:rPr>
          <w:rFonts w:ascii="宋体" w:hAnsi="宋体"/>
          <w:b/>
          <w:color w:val="auto"/>
          <w:kern w:val="0"/>
          <w:sz w:val="32"/>
          <w:szCs w:val="32"/>
          <w:highlight w:val="none"/>
        </w:rPr>
        <w:t>6</w:t>
      </w:r>
    </w:p>
    <w:p>
      <w:pPr>
        <w:keepNext/>
        <w:keepLines/>
        <w:adjustRightInd w:val="0"/>
        <w:snapToGrid w:val="0"/>
        <w:spacing w:before="100" w:beforeAutospacing="1" w:after="100" w:afterAutospacing="1" w:line="360" w:lineRule="auto"/>
        <w:rPr>
          <w:rFonts w:ascii="宋体" w:hAnsi="宋体"/>
          <w:b/>
          <w:bCs/>
          <w:snapToGrid w:val="0"/>
          <w:color w:val="auto"/>
          <w:kern w:val="0"/>
          <w:sz w:val="28"/>
          <w:szCs w:val="28"/>
          <w:highlight w:val="none"/>
        </w:rPr>
      </w:pPr>
      <w:bookmarkStart w:id="182" w:name="_Toc386046244"/>
      <w:r>
        <w:rPr>
          <w:rFonts w:hint="eastAsia" w:ascii="宋体" w:hAnsi="宋体"/>
          <w:b/>
          <w:bCs/>
          <w:snapToGrid w:val="0"/>
          <w:color w:val="auto"/>
          <w:kern w:val="0"/>
          <w:sz w:val="28"/>
          <w:szCs w:val="28"/>
          <w:highlight w:val="none"/>
        </w:rPr>
        <w:t>格式</w:t>
      </w:r>
      <w:r>
        <w:rPr>
          <w:rFonts w:ascii="宋体" w:hAnsi="宋体"/>
          <w:b/>
          <w:bCs/>
          <w:snapToGrid w:val="0"/>
          <w:color w:val="auto"/>
          <w:kern w:val="0"/>
          <w:sz w:val="28"/>
          <w:szCs w:val="28"/>
          <w:highlight w:val="none"/>
        </w:rPr>
        <w:t>6-1</w:t>
      </w:r>
      <w:bookmarkEnd w:id="182"/>
      <w:r>
        <w:rPr>
          <w:rFonts w:ascii="宋体" w:hAnsi="宋体"/>
          <w:b/>
          <w:bCs/>
          <w:snapToGrid w:val="0"/>
          <w:color w:val="auto"/>
          <w:kern w:val="0"/>
          <w:sz w:val="28"/>
          <w:szCs w:val="28"/>
          <w:highlight w:val="none"/>
        </w:rPr>
        <w:t xml:space="preserve"> </w:t>
      </w:r>
    </w:p>
    <w:p>
      <w:pPr>
        <w:keepNext/>
        <w:keepLines/>
        <w:adjustRightInd w:val="0"/>
        <w:snapToGrid w:val="0"/>
        <w:spacing w:before="120" w:after="120" w:line="360" w:lineRule="auto"/>
        <w:ind w:firstLine="640" w:firstLineChars="200"/>
        <w:jc w:val="center"/>
        <w:outlineLvl w:val="2"/>
        <w:rPr>
          <w:rFonts w:ascii="宋体"/>
          <w:b/>
          <w:bCs/>
          <w:color w:val="auto"/>
          <w:kern w:val="0"/>
          <w:sz w:val="32"/>
          <w:szCs w:val="32"/>
          <w:highlight w:val="none"/>
        </w:rPr>
      </w:pPr>
      <w:bookmarkStart w:id="183" w:name="_Toc386046245"/>
      <w:r>
        <w:rPr>
          <w:rFonts w:hint="eastAsia" w:ascii="宋体"/>
          <w:b/>
          <w:bCs/>
          <w:color w:val="auto"/>
          <w:kern w:val="0"/>
          <w:sz w:val="32"/>
          <w:szCs w:val="32"/>
          <w:highlight w:val="none"/>
        </w:rPr>
        <w:t>拟在本项目投入主要人员情况一览表</w:t>
      </w:r>
      <w:bookmarkEnd w:id="174"/>
      <w:bookmarkEnd w:id="175"/>
      <w:bookmarkEnd w:id="183"/>
    </w:p>
    <w:tbl>
      <w:tblPr>
        <w:tblStyle w:val="59"/>
        <w:tblW w:w="0" w:type="auto"/>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887"/>
        <w:gridCol w:w="1496"/>
        <w:gridCol w:w="1701"/>
        <w:gridCol w:w="2818"/>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84"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87"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496"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文化程度</w:t>
            </w:r>
          </w:p>
        </w:tc>
        <w:tc>
          <w:tcPr>
            <w:tcW w:w="1701"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拟从事岗位</w:t>
            </w:r>
          </w:p>
        </w:tc>
        <w:tc>
          <w:tcPr>
            <w:tcW w:w="2818" w:type="dxa"/>
            <w:tcBorders>
              <w:top w:val="thinThickSmallGap" w:color="auto" w:sz="2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工作简历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b/>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b/>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4" w:type="dxa"/>
            <w:tcBorders>
              <w:top w:val="single" w:color="auto" w:sz="4" w:space="0"/>
              <w:left w:val="thinThickSmallGap" w:color="auto" w:sz="2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single" w:color="auto" w:sz="4" w:space="0"/>
              <w:right w:val="thickThinSmallGap" w:color="auto" w:sz="24" w:space="0"/>
            </w:tcBorders>
            <w:vAlign w:val="center"/>
          </w:tcPr>
          <w:p>
            <w:pPr>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84" w:type="dxa"/>
            <w:tcBorders>
              <w:top w:val="single" w:color="auto" w:sz="4" w:space="0"/>
              <w:left w:val="thinThickSmallGap" w:color="auto" w:sz="24" w:space="0"/>
              <w:bottom w:val="thickThinSmallGap" w:color="auto" w:sz="24" w:space="0"/>
              <w:right w:val="single" w:color="auto" w:sz="4" w:space="0"/>
            </w:tcBorders>
          </w:tcPr>
          <w:p>
            <w:pPr>
              <w:spacing w:line="360" w:lineRule="auto"/>
              <w:jc w:val="center"/>
              <w:rPr>
                <w:rFonts w:ascii="宋体" w:hAnsi="宋体"/>
                <w:color w:val="auto"/>
                <w:szCs w:val="21"/>
                <w:highlight w:val="none"/>
              </w:rPr>
            </w:pPr>
          </w:p>
        </w:tc>
        <w:tc>
          <w:tcPr>
            <w:tcW w:w="984" w:type="dxa"/>
            <w:tcBorders>
              <w:top w:val="single" w:color="auto" w:sz="4" w:space="0"/>
              <w:left w:val="single" w:color="auto" w:sz="4" w:space="0"/>
              <w:bottom w:val="thickThinSmallGap" w:color="auto" w:sz="24" w:space="0"/>
              <w:right w:val="single" w:color="auto" w:sz="4" w:space="0"/>
            </w:tcBorders>
            <w:vAlign w:val="center"/>
          </w:tcPr>
          <w:p>
            <w:pPr>
              <w:spacing w:line="360" w:lineRule="auto"/>
              <w:jc w:val="center"/>
              <w:rPr>
                <w:rFonts w:ascii="宋体" w:hAnsi="宋体"/>
                <w:color w:val="auto"/>
                <w:szCs w:val="21"/>
                <w:highlight w:val="none"/>
              </w:rPr>
            </w:pPr>
          </w:p>
        </w:tc>
        <w:tc>
          <w:tcPr>
            <w:tcW w:w="887" w:type="dxa"/>
            <w:tcBorders>
              <w:top w:val="single" w:color="auto" w:sz="4" w:space="0"/>
              <w:left w:val="single" w:color="auto" w:sz="4" w:space="0"/>
              <w:bottom w:val="thickThinSmallGap" w:color="auto" w:sz="24" w:space="0"/>
              <w:right w:val="single" w:color="auto" w:sz="4" w:space="0"/>
            </w:tcBorders>
            <w:vAlign w:val="center"/>
          </w:tcPr>
          <w:p>
            <w:pPr>
              <w:spacing w:line="360" w:lineRule="auto"/>
              <w:jc w:val="center"/>
              <w:rPr>
                <w:rFonts w:ascii="宋体" w:hAnsi="宋体"/>
                <w:color w:val="auto"/>
                <w:szCs w:val="21"/>
                <w:highlight w:val="none"/>
              </w:rPr>
            </w:pPr>
          </w:p>
        </w:tc>
        <w:tc>
          <w:tcPr>
            <w:tcW w:w="1496" w:type="dxa"/>
            <w:tcBorders>
              <w:top w:val="single" w:color="auto" w:sz="4" w:space="0"/>
              <w:left w:val="single" w:color="auto" w:sz="4" w:space="0"/>
              <w:bottom w:val="thickThinSmallGap" w:color="auto" w:sz="24" w:space="0"/>
              <w:right w:val="single" w:color="auto" w:sz="4" w:space="0"/>
            </w:tcBorders>
            <w:vAlign w:val="center"/>
          </w:tcPr>
          <w:p>
            <w:pPr>
              <w:spacing w:line="360" w:lineRule="auto"/>
              <w:jc w:val="center"/>
              <w:rPr>
                <w:rFonts w:ascii="宋体" w:hAnsi="宋体"/>
                <w:color w:val="auto"/>
                <w:szCs w:val="21"/>
                <w:highlight w:val="none"/>
              </w:rPr>
            </w:pPr>
          </w:p>
        </w:tc>
        <w:tc>
          <w:tcPr>
            <w:tcW w:w="1701" w:type="dxa"/>
            <w:tcBorders>
              <w:top w:val="single" w:color="auto" w:sz="4" w:space="0"/>
              <w:left w:val="single" w:color="auto" w:sz="4" w:space="0"/>
              <w:bottom w:val="thickThinSmallGap" w:color="auto" w:sz="24" w:space="0"/>
              <w:right w:val="single" w:color="auto" w:sz="4" w:space="0"/>
            </w:tcBorders>
            <w:vAlign w:val="center"/>
          </w:tcPr>
          <w:p>
            <w:pPr>
              <w:spacing w:line="360" w:lineRule="auto"/>
              <w:jc w:val="center"/>
              <w:rPr>
                <w:rFonts w:ascii="宋体" w:hAnsi="宋体"/>
                <w:color w:val="auto"/>
                <w:szCs w:val="21"/>
                <w:highlight w:val="none"/>
              </w:rPr>
            </w:pPr>
          </w:p>
        </w:tc>
        <w:tc>
          <w:tcPr>
            <w:tcW w:w="2818" w:type="dxa"/>
            <w:tcBorders>
              <w:top w:val="single" w:color="auto" w:sz="4" w:space="0"/>
              <w:left w:val="single" w:color="auto" w:sz="4" w:space="0"/>
              <w:bottom w:val="thickThinSmallGap" w:color="auto" w:sz="24" w:space="0"/>
              <w:right w:val="thickThinSmallGap" w:color="auto" w:sz="2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注：需后附相关人员证书（如有）</w:t>
      </w:r>
    </w:p>
    <w:p>
      <w:pPr>
        <w:spacing w:line="360" w:lineRule="auto"/>
        <w:ind w:firstLine="2" w:firstLineChars="1"/>
        <w:rPr>
          <w:rFonts w:ascii="宋体" w:hAnsi="宋体"/>
          <w:b/>
          <w:color w:val="auto"/>
          <w:szCs w:val="21"/>
          <w:highlight w:val="none"/>
        </w:rPr>
      </w:pPr>
      <w:r>
        <w:rPr>
          <w:rFonts w:hint="eastAsia" w:ascii="宋体" w:hAnsi="宋体"/>
          <w:b/>
          <w:color w:val="auto"/>
          <w:szCs w:val="21"/>
          <w:highlight w:val="none"/>
        </w:rPr>
        <w:t>供应商</w:t>
      </w:r>
      <w:r>
        <w:rPr>
          <w:rFonts w:ascii="宋体" w:hAnsi="宋体"/>
          <w:b/>
          <w:color w:val="auto"/>
          <w:szCs w:val="21"/>
          <w:highlight w:val="none"/>
        </w:rPr>
        <w:t>：</w:t>
      </w:r>
      <w:r>
        <w:rPr>
          <w:rFonts w:ascii="宋体" w:hAnsi="宋体"/>
          <w:b/>
          <w:color w:val="auto"/>
          <w:szCs w:val="21"/>
          <w:highlight w:val="none"/>
          <w:u w:val="single"/>
        </w:rPr>
        <w:t xml:space="preserve">                                 </w:t>
      </w:r>
      <w:r>
        <w:rPr>
          <w:rFonts w:ascii="宋体" w:hAnsi="宋体"/>
          <w:b/>
          <w:color w:val="auto"/>
          <w:szCs w:val="21"/>
          <w:highlight w:val="none"/>
        </w:rPr>
        <w:t>（</w:t>
      </w:r>
      <w:r>
        <w:rPr>
          <w:rFonts w:hint="eastAsia" w:ascii="宋体" w:hAnsi="宋体"/>
          <w:b/>
          <w:color w:val="auto"/>
          <w:szCs w:val="21"/>
          <w:highlight w:val="none"/>
        </w:rPr>
        <w:t>加盖单位公章</w:t>
      </w:r>
      <w:r>
        <w:rPr>
          <w:rFonts w:ascii="宋体" w:hAnsi="宋体"/>
          <w:b/>
          <w:color w:val="auto"/>
          <w:szCs w:val="21"/>
          <w:highlight w:val="none"/>
        </w:rPr>
        <w:t>）</w:t>
      </w:r>
    </w:p>
    <w:p>
      <w:pPr>
        <w:spacing w:line="360" w:lineRule="auto"/>
        <w:ind w:firstLine="2" w:firstLineChars="1"/>
        <w:rPr>
          <w:rFonts w:ascii="宋体" w:hAnsi="宋体"/>
          <w:b/>
          <w:color w:val="auto"/>
          <w:szCs w:val="21"/>
          <w:highlight w:val="none"/>
        </w:rPr>
      </w:pPr>
      <w:r>
        <w:rPr>
          <w:rFonts w:ascii="宋体" w:hAnsi="宋体"/>
          <w:b/>
          <w:color w:val="auto"/>
          <w:szCs w:val="21"/>
          <w:highlight w:val="none"/>
        </w:rPr>
        <w:t>法定代表人</w:t>
      </w:r>
      <w:r>
        <w:rPr>
          <w:rFonts w:hint="eastAsia" w:ascii="宋体" w:hAnsi="宋体"/>
          <w:b/>
          <w:color w:val="auto"/>
          <w:szCs w:val="21"/>
          <w:highlight w:val="none"/>
        </w:rPr>
        <w:t>或授权代理人（签字或盖章）</w:t>
      </w:r>
      <w:r>
        <w:rPr>
          <w:rFonts w:ascii="宋体" w:hAnsi="宋体"/>
          <w:b/>
          <w:color w:val="auto"/>
          <w:szCs w:val="21"/>
          <w:highlight w:val="none"/>
        </w:rPr>
        <w:t>：</w:t>
      </w:r>
      <w:r>
        <w:rPr>
          <w:rFonts w:ascii="宋体" w:hAnsi="宋体"/>
          <w:b/>
          <w:color w:val="auto"/>
          <w:szCs w:val="21"/>
          <w:highlight w:val="none"/>
          <w:u w:val="single"/>
        </w:rPr>
        <w:t xml:space="preserve">               </w:t>
      </w:r>
      <w:r>
        <w:rPr>
          <w:rFonts w:ascii="宋体" w:hAnsi="宋体"/>
          <w:b/>
          <w:color w:val="auto"/>
          <w:szCs w:val="21"/>
          <w:highlight w:val="none"/>
        </w:rPr>
        <w:t xml:space="preserve"> </w:t>
      </w:r>
    </w:p>
    <w:p>
      <w:pPr>
        <w:spacing w:line="360" w:lineRule="auto"/>
        <w:ind w:firstLine="2" w:firstLineChars="1"/>
        <w:rPr>
          <w:rFonts w:ascii="宋体" w:hAnsi="宋体"/>
          <w:b/>
          <w:color w:val="auto"/>
          <w:szCs w:val="21"/>
          <w:highlight w:val="none"/>
        </w:rPr>
      </w:pPr>
      <w:r>
        <w:rPr>
          <w:rFonts w:ascii="宋体" w:hAnsi="宋体"/>
          <w:b/>
          <w:color w:val="auto"/>
          <w:szCs w:val="21"/>
          <w:highlight w:val="none"/>
          <w:u w:val="single"/>
        </w:rPr>
        <w:t xml:space="preserve">            </w:t>
      </w:r>
      <w:r>
        <w:rPr>
          <w:rFonts w:ascii="宋体" w:hAnsi="宋体"/>
          <w:b/>
          <w:color w:val="auto"/>
          <w:szCs w:val="21"/>
          <w:highlight w:val="none"/>
        </w:rPr>
        <w:t>年</w:t>
      </w:r>
      <w:r>
        <w:rPr>
          <w:rFonts w:ascii="宋体" w:hAnsi="宋体"/>
          <w:b/>
          <w:color w:val="auto"/>
          <w:szCs w:val="21"/>
          <w:highlight w:val="none"/>
          <w:u w:val="single"/>
        </w:rPr>
        <w:t xml:space="preserve">       </w:t>
      </w:r>
      <w:r>
        <w:rPr>
          <w:rFonts w:ascii="宋体" w:hAnsi="宋体"/>
          <w:b/>
          <w:color w:val="auto"/>
          <w:szCs w:val="21"/>
          <w:highlight w:val="none"/>
        </w:rPr>
        <w:t>月</w:t>
      </w:r>
      <w:r>
        <w:rPr>
          <w:rFonts w:ascii="宋体" w:hAnsi="宋体"/>
          <w:b/>
          <w:color w:val="auto"/>
          <w:szCs w:val="21"/>
          <w:highlight w:val="none"/>
          <w:u w:val="single"/>
        </w:rPr>
        <w:t xml:space="preserve">       </w:t>
      </w:r>
      <w:r>
        <w:rPr>
          <w:rFonts w:ascii="宋体" w:hAnsi="宋体"/>
          <w:b/>
          <w:color w:val="auto"/>
          <w:szCs w:val="21"/>
          <w:highlight w:val="none"/>
        </w:rPr>
        <w:t>日</w:t>
      </w:r>
    </w:p>
    <w:p>
      <w:pPr>
        <w:spacing w:line="360" w:lineRule="auto"/>
        <w:ind w:firstLine="2" w:firstLineChars="1"/>
        <w:rPr>
          <w:rFonts w:ascii="宋体" w:hAnsi="宋体"/>
          <w:b/>
          <w:color w:val="auto"/>
          <w:szCs w:val="21"/>
          <w:highlight w:val="none"/>
        </w:rPr>
      </w:pPr>
    </w:p>
    <w:p>
      <w:pPr>
        <w:keepNext/>
        <w:keepLines/>
        <w:spacing w:before="100" w:beforeAutospacing="1" w:after="100" w:afterAutospacing="1" w:line="360" w:lineRule="auto"/>
        <w:rPr>
          <w:rFonts w:ascii="宋体" w:hAnsi="宋体"/>
          <w:b/>
          <w:bCs/>
          <w:snapToGrid w:val="0"/>
          <w:color w:val="auto"/>
          <w:kern w:val="0"/>
          <w:sz w:val="28"/>
          <w:szCs w:val="28"/>
          <w:highlight w:val="none"/>
        </w:rPr>
      </w:pPr>
      <w:r>
        <w:rPr>
          <w:rFonts w:ascii="宋体" w:hAnsi="宋体" w:cs="新宋体-18030"/>
          <w:color w:val="auto"/>
          <w:kern w:val="0"/>
          <w:sz w:val="24"/>
          <w:szCs w:val="30"/>
          <w:highlight w:val="none"/>
        </w:rPr>
        <w:br w:type="page"/>
      </w:r>
      <w:bookmarkStart w:id="184" w:name="_Toc386046246"/>
      <w:r>
        <w:rPr>
          <w:rFonts w:hint="eastAsia" w:ascii="宋体" w:hAnsi="宋体"/>
          <w:b/>
          <w:bCs/>
          <w:snapToGrid w:val="0"/>
          <w:color w:val="auto"/>
          <w:kern w:val="0"/>
          <w:sz w:val="28"/>
          <w:szCs w:val="28"/>
          <w:highlight w:val="none"/>
        </w:rPr>
        <w:t>格式</w:t>
      </w:r>
      <w:r>
        <w:rPr>
          <w:rFonts w:ascii="宋体" w:hAnsi="宋体"/>
          <w:b/>
          <w:bCs/>
          <w:snapToGrid w:val="0"/>
          <w:color w:val="auto"/>
          <w:kern w:val="0"/>
          <w:sz w:val="28"/>
          <w:szCs w:val="28"/>
          <w:highlight w:val="none"/>
        </w:rPr>
        <w:t>6-2</w:t>
      </w:r>
      <w:bookmarkEnd w:id="184"/>
    </w:p>
    <w:p>
      <w:pPr>
        <w:keepNext/>
        <w:keepLines/>
        <w:spacing w:before="120" w:after="120" w:line="360" w:lineRule="auto"/>
        <w:ind w:firstLine="640" w:firstLineChars="200"/>
        <w:jc w:val="center"/>
        <w:outlineLvl w:val="2"/>
        <w:rPr>
          <w:rFonts w:ascii="宋体"/>
          <w:b/>
          <w:bCs/>
          <w:color w:val="auto"/>
          <w:kern w:val="0"/>
          <w:sz w:val="32"/>
          <w:szCs w:val="32"/>
          <w:highlight w:val="none"/>
        </w:rPr>
      </w:pPr>
      <w:bookmarkStart w:id="185" w:name="_Toc386046247"/>
      <w:bookmarkStart w:id="186" w:name="_Toc364351267"/>
      <w:r>
        <w:rPr>
          <w:rFonts w:hint="eastAsia" w:ascii="宋体"/>
          <w:b/>
          <w:bCs/>
          <w:color w:val="auto"/>
          <w:kern w:val="0"/>
          <w:sz w:val="32"/>
          <w:szCs w:val="32"/>
          <w:highlight w:val="none"/>
        </w:rPr>
        <w:t>项目负责人简历表</w:t>
      </w:r>
      <w:bookmarkEnd w:id="185"/>
      <w:bookmarkEnd w:id="186"/>
    </w:p>
    <w:tbl>
      <w:tblPr>
        <w:tblStyle w:val="59"/>
        <w:tblW w:w="0" w:type="auto"/>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267"/>
        <w:gridCol w:w="913"/>
        <w:gridCol w:w="1411"/>
        <w:gridCol w:w="2520"/>
        <w:gridCol w:w="236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77" w:type="dxa"/>
            <w:tcBorders>
              <w:top w:val="thinThickSmallGap" w:color="auto" w:sz="2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姓名</w:t>
            </w:r>
          </w:p>
        </w:tc>
        <w:tc>
          <w:tcPr>
            <w:tcW w:w="1267" w:type="dxa"/>
            <w:tcBorders>
              <w:top w:val="thinThickSmallGap" w:color="auto" w:sz="2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913" w:type="dxa"/>
            <w:tcBorders>
              <w:top w:val="thinThickSmallGap" w:color="auto" w:sz="2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年龄</w:t>
            </w:r>
          </w:p>
        </w:tc>
        <w:tc>
          <w:tcPr>
            <w:tcW w:w="1411" w:type="dxa"/>
            <w:tcBorders>
              <w:top w:val="thinThickSmallGap" w:color="auto" w:sz="2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2520" w:type="dxa"/>
            <w:tcBorders>
              <w:top w:val="thinThickSmallGap" w:color="auto" w:sz="2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学历</w:t>
            </w:r>
          </w:p>
        </w:tc>
        <w:tc>
          <w:tcPr>
            <w:tcW w:w="2365" w:type="dxa"/>
            <w:tcBorders>
              <w:top w:val="thinThickSmallGap" w:color="auto" w:sz="2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职务</w:t>
            </w: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拟在本项目任职</w:t>
            </w: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57" w:type="dxa"/>
            <w:gridSpan w:val="3"/>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执业资格等级</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专业</w:t>
            </w: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557" w:type="dxa"/>
            <w:gridSpan w:val="3"/>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证</w:t>
            </w:r>
            <w:r>
              <w:rPr>
                <w:rFonts w:ascii="宋体" w:hAnsi="宋体"/>
                <w:bCs/>
                <w:color w:val="auto"/>
                <w:szCs w:val="21"/>
                <w:highlight w:val="none"/>
              </w:rPr>
              <w:t xml:space="preserve">   </w:t>
            </w:r>
            <w:r>
              <w:rPr>
                <w:rFonts w:hint="eastAsia" w:ascii="宋体" w:hAnsi="宋体"/>
                <w:bCs/>
                <w:color w:val="auto"/>
                <w:szCs w:val="21"/>
                <w:highlight w:val="none"/>
              </w:rPr>
              <w:t>书</w:t>
            </w:r>
          </w:p>
        </w:tc>
        <w:tc>
          <w:tcPr>
            <w:tcW w:w="6296" w:type="dxa"/>
            <w:gridSpan w:val="3"/>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毕业院校</w:t>
            </w:r>
          </w:p>
        </w:tc>
        <w:tc>
          <w:tcPr>
            <w:tcW w:w="8476" w:type="dxa"/>
            <w:gridSpan w:val="5"/>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ind w:firstLine="630" w:firstLineChars="300"/>
              <w:jc w:val="center"/>
              <w:rPr>
                <w:rFonts w:ascii="宋体" w:hAnsi="宋体"/>
                <w:bCs/>
                <w:color w:val="auto"/>
                <w:szCs w:val="21"/>
                <w:highlight w:val="none"/>
              </w:rPr>
            </w:pPr>
            <w:r>
              <w:rPr>
                <w:rFonts w:hint="eastAsia" w:ascii="宋体" w:hAnsi="宋体"/>
                <w:bCs/>
                <w:color w:val="auto"/>
                <w:szCs w:val="21"/>
                <w:highlight w:val="none"/>
              </w:rPr>
              <w:t>年毕业于</w:t>
            </w:r>
            <w:r>
              <w:rPr>
                <w:rFonts w:ascii="宋体" w:hAnsi="宋体"/>
                <w:bCs/>
                <w:color w:val="auto"/>
                <w:szCs w:val="21"/>
                <w:highlight w:val="none"/>
              </w:rPr>
              <w:t xml:space="preserve">                  </w:t>
            </w:r>
            <w:r>
              <w:rPr>
                <w:rFonts w:hint="eastAsia" w:ascii="宋体" w:hAnsi="宋体"/>
                <w:bCs/>
                <w:color w:val="auto"/>
                <w:szCs w:val="21"/>
                <w:highlight w:val="none"/>
              </w:rPr>
              <w:t>学校</w:t>
            </w:r>
            <w:r>
              <w:rPr>
                <w:rFonts w:ascii="宋体" w:hAnsi="宋体"/>
                <w:bCs/>
                <w:color w:val="auto"/>
                <w:szCs w:val="21"/>
                <w:highlight w:val="none"/>
              </w:rPr>
              <w:t xml:space="preserve">              </w:t>
            </w:r>
            <w:r>
              <w:rPr>
                <w:rFonts w:hint="eastAsia" w:ascii="宋体" w:hAnsi="宋体"/>
                <w:bCs/>
                <w:color w:val="auto"/>
                <w:szCs w:val="21"/>
                <w:highlight w:val="none"/>
              </w:rPr>
              <w:t>专业</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53" w:type="dxa"/>
            <w:gridSpan w:val="6"/>
            <w:tcBorders>
              <w:top w:val="single" w:color="auto" w:sz="4" w:space="0"/>
              <w:left w:val="thinThickSmallGap" w:color="auto" w:sz="2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主要工作经历</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时间</w:t>
            </w: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参加过的类似项目名称</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r>
              <w:rPr>
                <w:rFonts w:hint="eastAsia" w:ascii="宋体" w:hAnsi="宋体"/>
                <w:bCs/>
                <w:color w:val="auto"/>
                <w:szCs w:val="21"/>
                <w:highlight w:val="none"/>
              </w:rPr>
              <w:t>项目概况说明</w:t>
            </w: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auto"/>
                <w:szCs w:val="21"/>
                <w:highlight w:val="none"/>
              </w:rPr>
            </w:pP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bCs/>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365" w:type="dxa"/>
            <w:tcBorders>
              <w:top w:val="single" w:color="auto" w:sz="4" w:space="0"/>
              <w:left w:val="single" w:color="auto" w:sz="4" w:space="0"/>
              <w:bottom w:val="single" w:color="auto" w:sz="4" w:space="0"/>
              <w:right w:val="thickThinSmallGap" w:color="auto" w:sz="24" w:space="0"/>
            </w:tcBorders>
            <w:vAlign w:val="center"/>
          </w:tcPr>
          <w:p>
            <w:pPr>
              <w:snapToGrid w:val="0"/>
              <w:spacing w:line="360" w:lineRule="auto"/>
              <w:jc w:val="center"/>
              <w:rPr>
                <w:rFonts w:ascii="宋体" w:hAnsi="宋体"/>
                <w:color w:val="auto"/>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7" w:type="dxa"/>
            <w:tcBorders>
              <w:top w:val="single" w:color="auto" w:sz="4" w:space="0"/>
              <w:left w:val="thinThickSmallGap" w:color="auto" w:sz="24" w:space="0"/>
              <w:bottom w:val="thickThinSmallGap" w:color="auto" w:sz="2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3591" w:type="dxa"/>
            <w:gridSpan w:val="3"/>
            <w:tcBorders>
              <w:top w:val="single" w:color="auto" w:sz="4" w:space="0"/>
              <w:left w:val="single" w:color="auto" w:sz="4" w:space="0"/>
              <w:bottom w:val="thickThinSmallGap" w:color="auto" w:sz="2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520" w:type="dxa"/>
            <w:tcBorders>
              <w:top w:val="single" w:color="auto" w:sz="4" w:space="0"/>
              <w:left w:val="single" w:color="auto" w:sz="4" w:space="0"/>
              <w:bottom w:val="thickThinSmallGap" w:color="auto" w:sz="2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2365" w:type="dxa"/>
            <w:tcBorders>
              <w:top w:val="single" w:color="auto" w:sz="4" w:space="0"/>
              <w:left w:val="single" w:color="auto" w:sz="4" w:space="0"/>
              <w:bottom w:val="thickThinSmallGap" w:color="auto" w:sz="24" w:space="0"/>
              <w:right w:val="thickThinSmallGap" w:color="auto" w:sz="24" w:space="0"/>
            </w:tcBorders>
            <w:vAlign w:val="center"/>
          </w:tcPr>
          <w:p>
            <w:pPr>
              <w:snapToGrid w:val="0"/>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注：需后附项目负责人相关证书（如有）</w:t>
      </w:r>
    </w:p>
    <w:p>
      <w:pPr>
        <w:keepNext/>
        <w:keepLines/>
        <w:spacing w:before="100" w:beforeAutospacing="1" w:after="100" w:afterAutospacing="1" w:line="360" w:lineRule="auto"/>
        <w:ind w:left="2100"/>
        <w:rPr>
          <w:rFonts w:ascii="宋体" w:hAnsi="宋体" w:cs="新宋体-18030"/>
          <w:b/>
          <w:bCs/>
          <w:color w:val="auto"/>
          <w:kern w:val="0"/>
          <w:sz w:val="24"/>
          <w:highlight w:val="none"/>
        </w:rPr>
      </w:pPr>
    </w:p>
    <w:p>
      <w:pPr>
        <w:spacing w:line="600" w:lineRule="exact"/>
        <w:rPr>
          <w:rFonts w:ascii="宋体" w:hAnsi="宋体"/>
          <w:b/>
          <w:color w:val="auto"/>
          <w:sz w:val="28"/>
          <w:szCs w:val="28"/>
          <w:highlight w:val="none"/>
        </w:rPr>
      </w:pPr>
      <w:r>
        <w:rPr>
          <w:rFonts w:ascii="宋体" w:hAnsi="宋体" w:cs="新宋体-18030"/>
          <w:color w:val="auto"/>
          <w:kern w:val="0"/>
          <w:sz w:val="24"/>
          <w:highlight w:val="none"/>
        </w:rPr>
        <w:br w:type="page"/>
      </w:r>
      <w:bookmarkStart w:id="187" w:name="_Toc324941576"/>
      <w:bookmarkStart w:id="188" w:name="_Toc385490372"/>
      <w:bookmarkStart w:id="189" w:name="_Toc209516069"/>
      <w:bookmarkStart w:id="190" w:name="_Toc347234419"/>
      <w:bookmarkStart w:id="191" w:name="_Toc370221726"/>
      <w:bookmarkStart w:id="192" w:name="_Toc183075179"/>
      <w:bookmarkStart w:id="193" w:name="_Toc386046248"/>
      <w:bookmarkStart w:id="194" w:name="_Toc370221822"/>
      <w:bookmarkStart w:id="195" w:name="_Toc191546057"/>
      <w:bookmarkStart w:id="196" w:name="_Toc370221912"/>
      <w:bookmarkStart w:id="197" w:name="_Toc373844131"/>
      <w:bookmarkStart w:id="198" w:name="_Toc373844198"/>
      <w:bookmarkStart w:id="199" w:name="_Toc185539626"/>
      <w:r>
        <w:rPr>
          <w:rFonts w:hint="eastAsia" w:ascii="宋体" w:hAnsi="宋体"/>
          <w:b/>
          <w:color w:val="auto"/>
          <w:sz w:val="28"/>
          <w:szCs w:val="28"/>
          <w:highlight w:val="none"/>
        </w:rPr>
        <w:t>格式</w:t>
      </w:r>
      <w:r>
        <w:rPr>
          <w:rFonts w:ascii="宋体" w:hAnsi="宋体"/>
          <w:b/>
          <w:color w:val="auto"/>
          <w:sz w:val="28"/>
          <w:szCs w:val="28"/>
          <w:highlight w:val="none"/>
        </w:rPr>
        <w:t>6-3</w:t>
      </w:r>
    </w:p>
    <w:p>
      <w:pPr>
        <w:keepNext/>
        <w:keepLines/>
        <w:spacing w:before="120" w:after="120" w:line="360" w:lineRule="auto"/>
        <w:ind w:firstLine="640" w:firstLineChars="200"/>
        <w:jc w:val="center"/>
        <w:outlineLvl w:val="2"/>
        <w:rPr>
          <w:rFonts w:ascii="宋体"/>
          <w:b/>
          <w:bCs/>
          <w:color w:val="auto"/>
          <w:kern w:val="0"/>
          <w:sz w:val="32"/>
          <w:szCs w:val="32"/>
          <w:highlight w:val="none"/>
        </w:rPr>
      </w:pPr>
      <w:bookmarkStart w:id="200" w:name="_Toc531895134"/>
      <w:r>
        <w:rPr>
          <w:rFonts w:hint="eastAsia" w:ascii="宋体"/>
          <w:b/>
          <w:bCs/>
          <w:color w:val="auto"/>
          <w:kern w:val="0"/>
          <w:sz w:val="32"/>
          <w:szCs w:val="32"/>
          <w:highlight w:val="none"/>
        </w:rPr>
        <w:t>拟投入本项目专业设备（材料）表</w:t>
      </w:r>
      <w:bookmarkEnd w:id="187"/>
      <w:bookmarkEnd w:id="188"/>
      <w:bookmarkEnd w:id="200"/>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568"/>
        <w:gridCol w:w="2154"/>
        <w:gridCol w:w="1041"/>
        <w:gridCol w:w="150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256" w:type="pct"/>
            <w:vAlign w:val="center"/>
          </w:tcPr>
          <w:p>
            <w:pPr>
              <w:autoSpaceDE w:val="0"/>
              <w:autoSpaceDN w:val="0"/>
              <w:adjustRightInd w:val="0"/>
              <w:jc w:val="left"/>
              <w:rPr>
                <w:rFonts w:ascii="宋体"/>
                <w:b/>
                <w:color w:val="auto"/>
                <w:spacing w:val="-20"/>
                <w:kern w:val="0"/>
                <w:sz w:val="24"/>
                <w:highlight w:val="none"/>
              </w:rPr>
            </w:pPr>
            <w:r>
              <w:rPr>
                <w:rFonts w:hint="eastAsia" w:ascii="宋体"/>
                <w:b/>
                <w:color w:val="auto"/>
                <w:spacing w:val="-20"/>
                <w:kern w:val="0"/>
                <w:sz w:val="24"/>
                <w:highlight w:val="none"/>
              </w:rPr>
              <w:t>序号</w:t>
            </w:r>
          </w:p>
        </w:tc>
        <w:tc>
          <w:tcPr>
            <w:tcW w:w="1303" w:type="pct"/>
            <w:vAlign w:val="center"/>
          </w:tcPr>
          <w:p>
            <w:pPr>
              <w:autoSpaceDE w:val="0"/>
              <w:autoSpaceDN w:val="0"/>
              <w:adjustRightInd w:val="0"/>
              <w:jc w:val="center"/>
              <w:rPr>
                <w:rFonts w:ascii="宋体"/>
                <w:b/>
                <w:color w:val="auto"/>
                <w:spacing w:val="-20"/>
                <w:kern w:val="0"/>
                <w:sz w:val="24"/>
                <w:highlight w:val="none"/>
              </w:rPr>
            </w:pPr>
            <w:r>
              <w:rPr>
                <w:rFonts w:hint="eastAsia" w:ascii="宋体"/>
                <w:b/>
                <w:color w:val="auto"/>
                <w:spacing w:val="-20"/>
                <w:kern w:val="0"/>
                <w:sz w:val="24"/>
                <w:highlight w:val="none"/>
              </w:rPr>
              <w:t>设备（材料）名称</w:t>
            </w:r>
          </w:p>
        </w:tc>
        <w:tc>
          <w:tcPr>
            <w:tcW w:w="1093" w:type="pct"/>
            <w:vAlign w:val="center"/>
          </w:tcPr>
          <w:p>
            <w:pPr>
              <w:autoSpaceDE w:val="0"/>
              <w:autoSpaceDN w:val="0"/>
              <w:adjustRightInd w:val="0"/>
              <w:jc w:val="center"/>
              <w:rPr>
                <w:rFonts w:ascii="宋体"/>
                <w:b/>
                <w:color w:val="auto"/>
                <w:kern w:val="0"/>
                <w:sz w:val="24"/>
                <w:highlight w:val="none"/>
              </w:rPr>
            </w:pPr>
            <w:r>
              <w:rPr>
                <w:rFonts w:hint="eastAsia" w:ascii="宋体"/>
                <w:b/>
                <w:color w:val="auto"/>
                <w:kern w:val="0"/>
                <w:sz w:val="24"/>
                <w:highlight w:val="none"/>
              </w:rPr>
              <w:t>型号和规格</w:t>
            </w:r>
          </w:p>
        </w:tc>
        <w:tc>
          <w:tcPr>
            <w:tcW w:w="528" w:type="pct"/>
            <w:vAlign w:val="center"/>
          </w:tcPr>
          <w:p>
            <w:pPr>
              <w:autoSpaceDE w:val="0"/>
              <w:autoSpaceDN w:val="0"/>
              <w:adjustRightInd w:val="0"/>
              <w:jc w:val="center"/>
              <w:rPr>
                <w:rFonts w:ascii="宋体"/>
                <w:b/>
                <w:color w:val="auto"/>
                <w:kern w:val="0"/>
                <w:sz w:val="24"/>
                <w:highlight w:val="none"/>
              </w:rPr>
            </w:pPr>
            <w:r>
              <w:rPr>
                <w:rFonts w:hint="eastAsia" w:ascii="宋体"/>
                <w:b/>
                <w:color w:val="auto"/>
                <w:kern w:val="0"/>
                <w:sz w:val="24"/>
                <w:highlight w:val="none"/>
              </w:rPr>
              <w:t>数量</w:t>
            </w:r>
          </w:p>
        </w:tc>
        <w:tc>
          <w:tcPr>
            <w:tcW w:w="764" w:type="pct"/>
            <w:vAlign w:val="center"/>
          </w:tcPr>
          <w:p>
            <w:pPr>
              <w:autoSpaceDE w:val="0"/>
              <w:autoSpaceDN w:val="0"/>
              <w:adjustRightInd w:val="0"/>
              <w:jc w:val="center"/>
              <w:rPr>
                <w:rFonts w:ascii="宋体"/>
                <w:b/>
                <w:color w:val="auto"/>
                <w:kern w:val="0"/>
                <w:sz w:val="24"/>
                <w:highlight w:val="none"/>
              </w:rPr>
            </w:pPr>
            <w:r>
              <w:rPr>
                <w:rFonts w:hint="eastAsia" w:ascii="宋体"/>
                <w:b/>
                <w:color w:val="auto"/>
                <w:kern w:val="0"/>
                <w:sz w:val="24"/>
                <w:highlight w:val="none"/>
              </w:rPr>
              <w:t>租赁/自有</w:t>
            </w:r>
          </w:p>
        </w:tc>
        <w:tc>
          <w:tcPr>
            <w:tcW w:w="1057" w:type="pct"/>
            <w:vAlign w:val="center"/>
          </w:tcPr>
          <w:p>
            <w:pPr>
              <w:autoSpaceDE w:val="0"/>
              <w:autoSpaceDN w:val="0"/>
              <w:adjustRightInd w:val="0"/>
              <w:ind w:left="72"/>
              <w:jc w:val="center"/>
              <w:rPr>
                <w:rFonts w:ascii="宋体"/>
                <w:b/>
                <w:color w:val="auto"/>
                <w:kern w:val="0"/>
                <w:sz w:val="24"/>
                <w:highlight w:val="none"/>
              </w:rPr>
            </w:pPr>
            <w:r>
              <w:rPr>
                <w:rFonts w:hint="eastAsia" w:ascii="宋体"/>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6" w:type="pct"/>
            <w:vAlign w:val="center"/>
          </w:tcPr>
          <w:p>
            <w:pPr>
              <w:autoSpaceDE w:val="0"/>
              <w:autoSpaceDN w:val="0"/>
              <w:adjustRightInd w:val="0"/>
              <w:jc w:val="left"/>
              <w:rPr>
                <w:rFonts w:ascii="宋体"/>
                <w:color w:val="auto"/>
                <w:kern w:val="0"/>
                <w:sz w:val="20"/>
                <w:highlight w:val="none"/>
              </w:rPr>
            </w:pPr>
            <w:r>
              <w:rPr>
                <w:rFonts w:ascii="宋体"/>
                <w:color w:val="auto"/>
                <w:kern w:val="0"/>
                <w:sz w:val="20"/>
                <w:highlight w:val="none"/>
              </w:rPr>
              <w:t>1</w:t>
            </w:r>
          </w:p>
        </w:tc>
        <w:tc>
          <w:tcPr>
            <w:tcW w:w="1303" w:type="pct"/>
            <w:vAlign w:val="center"/>
          </w:tcPr>
          <w:p>
            <w:pPr>
              <w:autoSpaceDE w:val="0"/>
              <w:autoSpaceDN w:val="0"/>
              <w:adjustRightInd w:val="0"/>
              <w:jc w:val="left"/>
              <w:rPr>
                <w:rFonts w:ascii="宋体"/>
                <w:color w:val="auto"/>
                <w:kern w:val="0"/>
                <w:sz w:val="20"/>
                <w:highlight w:val="none"/>
              </w:rPr>
            </w:pPr>
          </w:p>
        </w:tc>
        <w:tc>
          <w:tcPr>
            <w:tcW w:w="1093" w:type="pct"/>
            <w:vAlign w:val="center"/>
          </w:tcPr>
          <w:p>
            <w:pPr>
              <w:autoSpaceDE w:val="0"/>
              <w:autoSpaceDN w:val="0"/>
              <w:adjustRightInd w:val="0"/>
              <w:jc w:val="left"/>
              <w:rPr>
                <w:rFonts w:ascii="宋体"/>
                <w:color w:val="auto"/>
                <w:kern w:val="0"/>
                <w:sz w:val="20"/>
                <w:highlight w:val="none"/>
              </w:rPr>
            </w:pPr>
          </w:p>
        </w:tc>
        <w:tc>
          <w:tcPr>
            <w:tcW w:w="528" w:type="pct"/>
            <w:vAlign w:val="center"/>
          </w:tcPr>
          <w:p>
            <w:pPr>
              <w:autoSpaceDE w:val="0"/>
              <w:autoSpaceDN w:val="0"/>
              <w:adjustRightInd w:val="0"/>
              <w:jc w:val="left"/>
              <w:rPr>
                <w:rFonts w:ascii="宋体"/>
                <w:color w:val="auto"/>
                <w:kern w:val="0"/>
                <w:sz w:val="20"/>
                <w:highlight w:val="none"/>
              </w:rPr>
            </w:pPr>
          </w:p>
        </w:tc>
        <w:tc>
          <w:tcPr>
            <w:tcW w:w="764" w:type="pct"/>
            <w:vAlign w:val="center"/>
          </w:tcPr>
          <w:p>
            <w:pPr>
              <w:autoSpaceDE w:val="0"/>
              <w:autoSpaceDN w:val="0"/>
              <w:adjustRightInd w:val="0"/>
              <w:jc w:val="left"/>
              <w:rPr>
                <w:rFonts w:ascii="宋体"/>
                <w:color w:val="auto"/>
                <w:kern w:val="0"/>
                <w:sz w:val="20"/>
                <w:highlight w:val="none"/>
              </w:rPr>
            </w:pPr>
          </w:p>
        </w:tc>
        <w:tc>
          <w:tcPr>
            <w:tcW w:w="1057" w:type="pct"/>
            <w:vAlign w:val="center"/>
          </w:tcPr>
          <w:p>
            <w:pPr>
              <w:autoSpaceDE w:val="0"/>
              <w:autoSpaceDN w:val="0"/>
              <w:adjustRightInd w:val="0"/>
              <w:jc w:val="left"/>
              <w:rPr>
                <w:rFonts w:ascii="宋体"/>
                <w:color w:val="auto"/>
                <w:spacing w:val="-6"/>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6" w:type="pct"/>
            <w:vAlign w:val="center"/>
          </w:tcPr>
          <w:p>
            <w:pPr>
              <w:autoSpaceDE w:val="0"/>
              <w:autoSpaceDN w:val="0"/>
              <w:adjustRightInd w:val="0"/>
              <w:jc w:val="left"/>
              <w:rPr>
                <w:rFonts w:ascii="宋体"/>
                <w:color w:val="auto"/>
                <w:kern w:val="0"/>
                <w:sz w:val="20"/>
                <w:highlight w:val="none"/>
              </w:rPr>
            </w:pPr>
            <w:r>
              <w:rPr>
                <w:rFonts w:ascii="宋体"/>
                <w:color w:val="auto"/>
                <w:kern w:val="0"/>
                <w:sz w:val="20"/>
                <w:highlight w:val="none"/>
              </w:rPr>
              <w:t>2</w:t>
            </w:r>
          </w:p>
        </w:tc>
        <w:tc>
          <w:tcPr>
            <w:tcW w:w="1303" w:type="pct"/>
            <w:vAlign w:val="center"/>
          </w:tcPr>
          <w:p>
            <w:pPr>
              <w:autoSpaceDE w:val="0"/>
              <w:autoSpaceDN w:val="0"/>
              <w:adjustRightInd w:val="0"/>
              <w:jc w:val="left"/>
              <w:rPr>
                <w:rFonts w:ascii="宋体"/>
                <w:color w:val="auto"/>
                <w:kern w:val="0"/>
                <w:sz w:val="20"/>
                <w:highlight w:val="none"/>
              </w:rPr>
            </w:pPr>
          </w:p>
        </w:tc>
        <w:tc>
          <w:tcPr>
            <w:tcW w:w="1093" w:type="pct"/>
            <w:vAlign w:val="center"/>
          </w:tcPr>
          <w:p>
            <w:pPr>
              <w:autoSpaceDE w:val="0"/>
              <w:autoSpaceDN w:val="0"/>
              <w:adjustRightInd w:val="0"/>
              <w:jc w:val="left"/>
              <w:rPr>
                <w:rFonts w:ascii="宋体"/>
                <w:color w:val="auto"/>
                <w:kern w:val="0"/>
                <w:sz w:val="20"/>
                <w:highlight w:val="none"/>
              </w:rPr>
            </w:pPr>
          </w:p>
        </w:tc>
        <w:tc>
          <w:tcPr>
            <w:tcW w:w="528" w:type="pct"/>
            <w:vAlign w:val="center"/>
          </w:tcPr>
          <w:p>
            <w:pPr>
              <w:autoSpaceDE w:val="0"/>
              <w:autoSpaceDN w:val="0"/>
              <w:adjustRightInd w:val="0"/>
              <w:jc w:val="left"/>
              <w:rPr>
                <w:rFonts w:ascii="宋体"/>
                <w:color w:val="auto"/>
                <w:kern w:val="0"/>
                <w:sz w:val="20"/>
                <w:highlight w:val="none"/>
              </w:rPr>
            </w:pPr>
          </w:p>
        </w:tc>
        <w:tc>
          <w:tcPr>
            <w:tcW w:w="764" w:type="pct"/>
            <w:vAlign w:val="center"/>
          </w:tcPr>
          <w:p>
            <w:pPr>
              <w:autoSpaceDE w:val="0"/>
              <w:autoSpaceDN w:val="0"/>
              <w:adjustRightInd w:val="0"/>
              <w:jc w:val="left"/>
              <w:rPr>
                <w:rFonts w:ascii="宋体"/>
                <w:color w:val="auto"/>
                <w:kern w:val="0"/>
                <w:sz w:val="20"/>
                <w:highlight w:val="none"/>
              </w:rPr>
            </w:pPr>
          </w:p>
        </w:tc>
        <w:tc>
          <w:tcPr>
            <w:tcW w:w="1057" w:type="pct"/>
            <w:vAlign w:val="center"/>
          </w:tcPr>
          <w:p>
            <w:pPr>
              <w:autoSpaceDE w:val="0"/>
              <w:autoSpaceDN w:val="0"/>
              <w:adjustRightInd w:val="0"/>
              <w:jc w:val="left"/>
              <w:rPr>
                <w:rFonts w:ascii="宋体"/>
                <w:color w:val="auto"/>
                <w:spacing w:val="-6"/>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6" w:type="pct"/>
            <w:vAlign w:val="center"/>
          </w:tcPr>
          <w:p>
            <w:pPr>
              <w:autoSpaceDE w:val="0"/>
              <w:autoSpaceDN w:val="0"/>
              <w:adjustRightInd w:val="0"/>
              <w:jc w:val="left"/>
              <w:rPr>
                <w:rFonts w:ascii="宋体"/>
                <w:color w:val="auto"/>
                <w:kern w:val="0"/>
                <w:sz w:val="20"/>
                <w:highlight w:val="none"/>
              </w:rPr>
            </w:pPr>
            <w:r>
              <w:rPr>
                <w:rFonts w:ascii="宋体"/>
                <w:color w:val="auto"/>
                <w:kern w:val="0"/>
                <w:sz w:val="20"/>
                <w:highlight w:val="none"/>
              </w:rPr>
              <w:t>3</w:t>
            </w:r>
          </w:p>
        </w:tc>
        <w:tc>
          <w:tcPr>
            <w:tcW w:w="1303" w:type="pct"/>
            <w:vAlign w:val="center"/>
          </w:tcPr>
          <w:p>
            <w:pPr>
              <w:autoSpaceDE w:val="0"/>
              <w:autoSpaceDN w:val="0"/>
              <w:adjustRightInd w:val="0"/>
              <w:jc w:val="left"/>
              <w:rPr>
                <w:rFonts w:ascii="宋体"/>
                <w:color w:val="auto"/>
                <w:kern w:val="0"/>
                <w:sz w:val="20"/>
                <w:highlight w:val="none"/>
              </w:rPr>
            </w:pPr>
          </w:p>
        </w:tc>
        <w:tc>
          <w:tcPr>
            <w:tcW w:w="1093" w:type="pct"/>
            <w:vAlign w:val="center"/>
          </w:tcPr>
          <w:p>
            <w:pPr>
              <w:autoSpaceDE w:val="0"/>
              <w:autoSpaceDN w:val="0"/>
              <w:adjustRightInd w:val="0"/>
              <w:jc w:val="left"/>
              <w:rPr>
                <w:rFonts w:ascii="宋体"/>
                <w:color w:val="auto"/>
                <w:kern w:val="0"/>
                <w:sz w:val="20"/>
                <w:highlight w:val="none"/>
              </w:rPr>
            </w:pPr>
          </w:p>
        </w:tc>
        <w:tc>
          <w:tcPr>
            <w:tcW w:w="528" w:type="pct"/>
            <w:vAlign w:val="center"/>
          </w:tcPr>
          <w:p>
            <w:pPr>
              <w:autoSpaceDE w:val="0"/>
              <w:autoSpaceDN w:val="0"/>
              <w:adjustRightInd w:val="0"/>
              <w:jc w:val="left"/>
              <w:rPr>
                <w:rFonts w:ascii="宋体"/>
                <w:color w:val="auto"/>
                <w:kern w:val="0"/>
                <w:sz w:val="20"/>
                <w:highlight w:val="none"/>
              </w:rPr>
            </w:pPr>
          </w:p>
        </w:tc>
        <w:tc>
          <w:tcPr>
            <w:tcW w:w="764" w:type="pct"/>
            <w:vAlign w:val="center"/>
          </w:tcPr>
          <w:p>
            <w:pPr>
              <w:autoSpaceDE w:val="0"/>
              <w:autoSpaceDN w:val="0"/>
              <w:adjustRightInd w:val="0"/>
              <w:jc w:val="left"/>
              <w:rPr>
                <w:rFonts w:ascii="宋体"/>
                <w:color w:val="auto"/>
                <w:kern w:val="0"/>
                <w:sz w:val="20"/>
                <w:highlight w:val="none"/>
              </w:rPr>
            </w:pPr>
          </w:p>
        </w:tc>
        <w:tc>
          <w:tcPr>
            <w:tcW w:w="1057" w:type="pct"/>
            <w:vAlign w:val="center"/>
          </w:tcPr>
          <w:p>
            <w:pPr>
              <w:autoSpaceDE w:val="0"/>
              <w:autoSpaceDN w:val="0"/>
              <w:adjustRightInd w:val="0"/>
              <w:jc w:val="left"/>
              <w:rPr>
                <w:rFonts w:ascii="宋体"/>
                <w:color w:val="auto"/>
                <w:spacing w:val="-6"/>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6" w:type="pct"/>
            <w:vAlign w:val="center"/>
          </w:tcPr>
          <w:p>
            <w:pPr>
              <w:autoSpaceDE w:val="0"/>
              <w:autoSpaceDN w:val="0"/>
              <w:adjustRightInd w:val="0"/>
              <w:jc w:val="left"/>
              <w:rPr>
                <w:rFonts w:ascii="宋体"/>
                <w:color w:val="auto"/>
                <w:kern w:val="0"/>
                <w:sz w:val="20"/>
                <w:highlight w:val="none"/>
              </w:rPr>
            </w:pPr>
            <w:r>
              <w:rPr>
                <w:rFonts w:ascii="宋体"/>
                <w:color w:val="auto"/>
                <w:kern w:val="0"/>
                <w:sz w:val="20"/>
                <w:highlight w:val="none"/>
              </w:rPr>
              <w:t>4</w:t>
            </w:r>
          </w:p>
        </w:tc>
        <w:tc>
          <w:tcPr>
            <w:tcW w:w="1303" w:type="pct"/>
            <w:vAlign w:val="center"/>
          </w:tcPr>
          <w:p>
            <w:pPr>
              <w:autoSpaceDE w:val="0"/>
              <w:autoSpaceDN w:val="0"/>
              <w:adjustRightInd w:val="0"/>
              <w:jc w:val="left"/>
              <w:rPr>
                <w:rFonts w:ascii="宋体"/>
                <w:color w:val="auto"/>
                <w:kern w:val="0"/>
                <w:sz w:val="20"/>
                <w:highlight w:val="none"/>
              </w:rPr>
            </w:pPr>
          </w:p>
        </w:tc>
        <w:tc>
          <w:tcPr>
            <w:tcW w:w="1093" w:type="pct"/>
            <w:vAlign w:val="center"/>
          </w:tcPr>
          <w:p>
            <w:pPr>
              <w:autoSpaceDE w:val="0"/>
              <w:autoSpaceDN w:val="0"/>
              <w:adjustRightInd w:val="0"/>
              <w:jc w:val="left"/>
              <w:rPr>
                <w:rFonts w:ascii="宋体"/>
                <w:color w:val="auto"/>
                <w:kern w:val="0"/>
                <w:sz w:val="20"/>
                <w:highlight w:val="none"/>
              </w:rPr>
            </w:pPr>
          </w:p>
        </w:tc>
        <w:tc>
          <w:tcPr>
            <w:tcW w:w="528" w:type="pct"/>
            <w:vAlign w:val="center"/>
          </w:tcPr>
          <w:p>
            <w:pPr>
              <w:autoSpaceDE w:val="0"/>
              <w:autoSpaceDN w:val="0"/>
              <w:adjustRightInd w:val="0"/>
              <w:jc w:val="left"/>
              <w:rPr>
                <w:rFonts w:ascii="宋体"/>
                <w:color w:val="auto"/>
                <w:kern w:val="0"/>
                <w:sz w:val="20"/>
                <w:highlight w:val="none"/>
              </w:rPr>
            </w:pPr>
          </w:p>
        </w:tc>
        <w:tc>
          <w:tcPr>
            <w:tcW w:w="764" w:type="pct"/>
            <w:vAlign w:val="center"/>
          </w:tcPr>
          <w:p>
            <w:pPr>
              <w:autoSpaceDE w:val="0"/>
              <w:autoSpaceDN w:val="0"/>
              <w:adjustRightInd w:val="0"/>
              <w:jc w:val="left"/>
              <w:rPr>
                <w:rFonts w:ascii="宋体"/>
                <w:color w:val="auto"/>
                <w:kern w:val="0"/>
                <w:sz w:val="20"/>
                <w:highlight w:val="none"/>
              </w:rPr>
            </w:pPr>
          </w:p>
        </w:tc>
        <w:tc>
          <w:tcPr>
            <w:tcW w:w="1057" w:type="pct"/>
            <w:vAlign w:val="center"/>
          </w:tcPr>
          <w:p>
            <w:pPr>
              <w:autoSpaceDE w:val="0"/>
              <w:autoSpaceDN w:val="0"/>
              <w:adjustRightInd w:val="0"/>
              <w:jc w:val="left"/>
              <w:rPr>
                <w:rFonts w:ascii="宋体"/>
                <w:color w:val="auto"/>
                <w:spacing w:val="-6"/>
                <w:kern w:val="0"/>
                <w:sz w:val="20"/>
                <w:highlight w:val="none"/>
              </w:rPr>
            </w:pPr>
          </w:p>
        </w:tc>
      </w:tr>
    </w:tbl>
    <w:p>
      <w:pPr>
        <w:autoSpaceDE w:val="0"/>
        <w:autoSpaceDN w:val="0"/>
        <w:adjustRightInd w:val="0"/>
        <w:spacing w:line="600" w:lineRule="exact"/>
        <w:jc w:val="left"/>
        <w:rPr>
          <w:rFonts w:ascii="宋体"/>
          <w:b/>
          <w:color w:val="auto"/>
          <w:kern w:val="0"/>
          <w:szCs w:val="21"/>
          <w:highlight w:val="none"/>
        </w:rPr>
      </w:pPr>
      <w:r>
        <w:rPr>
          <w:rFonts w:hint="eastAsia" w:ascii="宋体" w:hAnsi="宋体"/>
          <w:color w:val="auto"/>
          <w:kern w:val="0"/>
          <w:szCs w:val="21"/>
          <w:highlight w:val="none"/>
        </w:rPr>
        <w:t>注：拟投入本项目设备（材料）须满足第五章要求，确保本项目顺利完成，提供材料来源证明材料。</w:t>
      </w:r>
    </w:p>
    <w:p>
      <w:pPr>
        <w:spacing w:line="360" w:lineRule="auto"/>
        <w:rPr>
          <w:rFonts w:ascii="宋体" w:hAnsi="宋体" w:cs="新宋体-18030"/>
          <w:b/>
          <w:color w:val="auto"/>
          <w:kern w:val="0"/>
          <w:sz w:val="28"/>
          <w:szCs w:val="28"/>
          <w:highlight w:val="none"/>
        </w:rPr>
      </w:pPr>
      <w:r>
        <w:rPr>
          <w:rFonts w:ascii="宋体" w:hAnsi="宋体"/>
          <w:snapToGrid w:val="0"/>
          <w:color w:val="auto"/>
          <w:kern w:val="0"/>
          <w:sz w:val="28"/>
          <w:szCs w:val="28"/>
          <w:highlight w:val="none"/>
        </w:rPr>
        <w:br w:type="page"/>
      </w:r>
      <w:bookmarkEnd w:id="189"/>
      <w:bookmarkEnd w:id="190"/>
      <w:bookmarkEnd w:id="191"/>
      <w:bookmarkEnd w:id="192"/>
      <w:bookmarkEnd w:id="193"/>
      <w:bookmarkEnd w:id="194"/>
      <w:bookmarkEnd w:id="195"/>
      <w:bookmarkEnd w:id="196"/>
      <w:bookmarkEnd w:id="197"/>
      <w:bookmarkEnd w:id="198"/>
      <w:bookmarkEnd w:id="199"/>
      <w:r>
        <w:rPr>
          <w:rFonts w:hint="eastAsia" w:ascii="宋体" w:hAnsi="宋体" w:cs="新宋体-18030"/>
          <w:b/>
          <w:color w:val="auto"/>
          <w:kern w:val="0"/>
          <w:sz w:val="28"/>
          <w:szCs w:val="28"/>
          <w:highlight w:val="none"/>
        </w:rPr>
        <w:t>格式</w:t>
      </w:r>
      <w:bookmarkStart w:id="201" w:name="_Toc386093493"/>
      <w:r>
        <w:rPr>
          <w:rFonts w:ascii="宋体" w:hAnsi="宋体" w:cs="新宋体-18030"/>
          <w:b/>
          <w:color w:val="auto"/>
          <w:kern w:val="0"/>
          <w:sz w:val="28"/>
          <w:szCs w:val="28"/>
          <w:highlight w:val="none"/>
        </w:rPr>
        <w:t xml:space="preserve">7 </w:t>
      </w:r>
      <w:bookmarkEnd w:id="201"/>
    </w:p>
    <w:p>
      <w:pPr>
        <w:keepNext/>
        <w:keepLines/>
        <w:spacing w:before="120" w:after="120" w:line="360" w:lineRule="auto"/>
        <w:jc w:val="center"/>
        <w:outlineLvl w:val="1"/>
        <w:rPr>
          <w:rFonts w:ascii="Arial" w:hAnsi="宋体"/>
          <w:b/>
          <w:bCs/>
          <w:color w:val="auto"/>
          <w:kern w:val="0"/>
          <w:sz w:val="32"/>
          <w:szCs w:val="32"/>
          <w:highlight w:val="none"/>
        </w:rPr>
      </w:pPr>
      <w:bookmarkStart w:id="202" w:name="_Toc213141101"/>
      <w:bookmarkStart w:id="203" w:name="_Toc422234732"/>
      <w:r>
        <w:rPr>
          <w:rFonts w:hint="eastAsia" w:ascii="Arial" w:hAnsi="宋体"/>
          <w:b/>
          <w:bCs/>
          <w:color w:val="auto"/>
          <w:kern w:val="0"/>
          <w:sz w:val="32"/>
          <w:szCs w:val="32"/>
          <w:highlight w:val="none"/>
        </w:rPr>
        <w:t>服务承诺</w:t>
      </w:r>
      <w:bookmarkEnd w:id="202"/>
      <w:bookmarkEnd w:id="203"/>
      <w:r>
        <w:rPr>
          <w:rFonts w:hint="eastAsia" w:ascii="Arial" w:hAnsi="宋体"/>
          <w:b/>
          <w:bCs/>
          <w:color w:val="auto"/>
          <w:kern w:val="0"/>
          <w:sz w:val="32"/>
          <w:szCs w:val="32"/>
          <w:highlight w:val="none"/>
        </w:rPr>
        <w:t>及相关质量保证措施</w:t>
      </w:r>
    </w:p>
    <w:p>
      <w:pPr>
        <w:spacing w:line="360" w:lineRule="auto"/>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(此部分格式自拟，由供应商按第五章的要求结合自身实际进行详细阐述、承诺)</w:t>
      </w: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rPr>
          <w:rFonts w:ascii="宋体" w:hAnsi="宋体" w:cs="新宋体-18030"/>
          <w:color w:val="auto"/>
          <w:kern w:val="0"/>
          <w:szCs w:val="21"/>
          <w:highlight w:val="none"/>
        </w:rPr>
      </w:pPr>
    </w:p>
    <w:p>
      <w:pPr>
        <w:spacing w:line="360" w:lineRule="auto"/>
        <w:ind w:left="3360" w:leftChars="1600" w:firstLine="2" w:firstLineChars="1"/>
        <w:jc w:val="left"/>
        <w:rPr>
          <w:rFonts w:ascii="宋体" w:hAnsi="宋体"/>
          <w:b/>
          <w:color w:val="auto"/>
          <w:szCs w:val="21"/>
          <w:highlight w:val="none"/>
        </w:rPr>
      </w:pPr>
      <w:r>
        <w:rPr>
          <w:rFonts w:hint="eastAsia" w:ascii="宋体" w:hAnsi="宋体"/>
          <w:b/>
          <w:color w:val="auto"/>
          <w:szCs w:val="21"/>
          <w:highlight w:val="none"/>
        </w:rPr>
        <w:t>供应商</w:t>
      </w:r>
      <w:r>
        <w:rPr>
          <w:rFonts w:ascii="宋体" w:hAnsi="宋体"/>
          <w:b/>
          <w:color w:val="auto"/>
          <w:szCs w:val="21"/>
          <w:highlight w:val="none"/>
        </w:rPr>
        <w:t>：</w:t>
      </w:r>
      <w:r>
        <w:rPr>
          <w:rFonts w:ascii="宋体" w:hAnsi="宋体"/>
          <w:b/>
          <w:color w:val="auto"/>
          <w:szCs w:val="21"/>
          <w:highlight w:val="none"/>
          <w:u w:val="single"/>
        </w:rPr>
        <w:t xml:space="preserve">                                 </w:t>
      </w:r>
      <w:r>
        <w:rPr>
          <w:rFonts w:ascii="宋体" w:hAnsi="宋体"/>
          <w:b/>
          <w:color w:val="auto"/>
          <w:szCs w:val="21"/>
          <w:highlight w:val="none"/>
        </w:rPr>
        <w:t>（</w:t>
      </w:r>
      <w:r>
        <w:rPr>
          <w:rFonts w:hint="eastAsia" w:ascii="宋体" w:hAnsi="宋体"/>
          <w:b/>
          <w:color w:val="auto"/>
          <w:szCs w:val="21"/>
          <w:highlight w:val="none"/>
        </w:rPr>
        <w:t>加盖单位公章</w:t>
      </w:r>
      <w:r>
        <w:rPr>
          <w:rFonts w:ascii="宋体" w:hAnsi="宋体"/>
          <w:b/>
          <w:color w:val="auto"/>
          <w:szCs w:val="21"/>
          <w:highlight w:val="none"/>
        </w:rPr>
        <w:t>）</w:t>
      </w:r>
    </w:p>
    <w:p>
      <w:pPr>
        <w:spacing w:line="360" w:lineRule="auto"/>
        <w:ind w:left="3360" w:leftChars="1600" w:firstLine="2" w:firstLineChars="1"/>
        <w:jc w:val="left"/>
        <w:rPr>
          <w:rFonts w:ascii="宋体" w:hAnsi="宋体"/>
          <w:b/>
          <w:color w:val="auto"/>
          <w:szCs w:val="21"/>
          <w:highlight w:val="none"/>
        </w:rPr>
      </w:pPr>
      <w:r>
        <w:rPr>
          <w:rFonts w:ascii="宋体" w:hAnsi="宋体"/>
          <w:b/>
          <w:color w:val="auto"/>
          <w:szCs w:val="21"/>
          <w:highlight w:val="none"/>
        </w:rPr>
        <w:t>法定代表人</w:t>
      </w:r>
      <w:r>
        <w:rPr>
          <w:rFonts w:hint="eastAsia" w:ascii="宋体" w:hAnsi="宋体"/>
          <w:b/>
          <w:color w:val="auto"/>
          <w:szCs w:val="21"/>
          <w:highlight w:val="none"/>
        </w:rPr>
        <w:t>或授权代理人（签字或盖章）</w:t>
      </w:r>
      <w:r>
        <w:rPr>
          <w:rFonts w:ascii="宋体" w:hAnsi="宋体"/>
          <w:b/>
          <w:color w:val="auto"/>
          <w:szCs w:val="21"/>
          <w:highlight w:val="none"/>
        </w:rPr>
        <w:t>：</w:t>
      </w:r>
    </w:p>
    <w:p>
      <w:pPr>
        <w:spacing w:line="360" w:lineRule="auto"/>
        <w:ind w:left="3360" w:leftChars="1600" w:firstLine="2" w:firstLineChars="1"/>
        <w:jc w:val="left"/>
        <w:rPr>
          <w:rFonts w:ascii="宋体" w:hAnsi="宋体"/>
          <w:b/>
          <w:color w:val="auto"/>
          <w:szCs w:val="21"/>
          <w:highlight w:val="none"/>
        </w:rPr>
      </w:pPr>
      <w:r>
        <w:rPr>
          <w:rFonts w:ascii="宋体" w:hAnsi="宋体"/>
          <w:b/>
          <w:color w:val="auto"/>
          <w:szCs w:val="21"/>
          <w:highlight w:val="none"/>
        </w:rPr>
        <w:t>年</w:t>
      </w:r>
      <w:r>
        <w:rPr>
          <w:rFonts w:ascii="宋体" w:hAnsi="宋体"/>
          <w:b/>
          <w:color w:val="auto"/>
          <w:szCs w:val="21"/>
          <w:highlight w:val="none"/>
          <w:u w:val="single"/>
        </w:rPr>
        <w:t xml:space="preserve">       </w:t>
      </w:r>
      <w:r>
        <w:rPr>
          <w:rFonts w:ascii="宋体" w:hAnsi="宋体"/>
          <w:b/>
          <w:color w:val="auto"/>
          <w:szCs w:val="21"/>
          <w:highlight w:val="none"/>
        </w:rPr>
        <w:t>月</w:t>
      </w:r>
      <w:r>
        <w:rPr>
          <w:rFonts w:ascii="宋体" w:hAnsi="宋体"/>
          <w:b/>
          <w:color w:val="auto"/>
          <w:szCs w:val="21"/>
          <w:highlight w:val="none"/>
          <w:u w:val="single"/>
        </w:rPr>
        <w:t xml:space="preserve">       </w:t>
      </w:r>
      <w:r>
        <w:rPr>
          <w:rFonts w:ascii="宋体" w:hAnsi="宋体"/>
          <w:b/>
          <w:color w:val="auto"/>
          <w:szCs w:val="21"/>
          <w:highlight w:val="none"/>
        </w:rPr>
        <w:t>日</w:t>
      </w:r>
    </w:p>
    <w:p>
      <w:pPr>
        <w:spacing w:line="360" w:lineRule="auto"/>
        <w:rPr>
          <w:rFonts w:ascii="宋体" w:hAnsi="宋体" w:cs="新宋体-18030"/>
          <w:color w:val="auto"/>
          <w:kern w:val="0"/>
          <w:szCs w:val="21"/>
          <w:highlight w:val="none"/>
        </w:rPr>
      </w:pPr>
    </w:p>
    <w:p>
      <w:pPr>
        <w:spacing w:line="360" w:lineRule="auto"/>
        <w:jc w:val="left"/>
        <w:rPr>
          <w:rFonts w:ascii="宋体" w:hAnsi="宋体" w:cs="新宋体-18030"/>
          <w:b/>
          <w:color w:val="auto"/>
          <w:kern w:val="0"/>
          <w:sz w:val="28"/>
          <w:szCs w:val="28"/>
          <w:highlight w:val="none"/>
        </w:rPr>
      </w:pPr>
      <w:r>
        <w:rPr>
          <w:rFonts w:ascii="宋体" w:hAnsi="宋体"/>
          <w:bCs/>
          <w:snapToGrid w:val="0"/>
          <w:color w:val="auto"/>
          <w:kern w:val="0"/>
          <w:szCs w:val="21"/>
          <w:highlight w:val="none"/>
        </w:rPr>
        <w:br w:type="page"/>
      </w:r>
      <w:r>
        <w:rPr>
          <w:rFonts w:hint="eastAsia" w:ascii="宋体" w:hAnsi="宋体" w:cs="新宋体-18030"/>
          <w:b/>
          <w:color w:val="auto"/>
          <w:kern w:val="0"/>
          <w:sz w:val="28"/>
          <w:szCs w:val="28"/>
          <w:highlight w:val="none"/>
        </w:rPr>
        <w:t>格式</w:t>
      </w:r>
      <w:r>
        <w:rPr>
          <w:rFonts w:ascii="宋体" w:hAnsi="宋体" w:cs="新宋体-18030"/>
          <w:b/>
          <w:color w:val="auto"/>
          <w:kern w:val="0"/>
          <w:sz w:val="28"/>
          <w:szCs w:val="28"/>
          <w:highlight w:val="none"/>
        </w:rPr>
        <w:t>8</w:t>
      </w:r>
    </w:p>
    <w:p>
      <w:pPr>
        <w:keepNext/>
        <w:keepLines/>
        <w:spacing w:before="120" w:after="120" w:line="360" w:lineRule="auto"/>
        <w:jc w:val="center"/>
        <w:outlineLvl w:val="1"/>
        <w:rPr>
          <w:rFonts w:ascii="Arial" w:hAnsi="宋体"/>
          <w:b/>
          <w:bCs/>
          <w:color w:val="auto"/>
          <w:kern w:val="0"/>
          <w:sz w:val="32"/>
          <w:szCs w:val="32"/>
          <w:highlight w:val="none"/>
        </w:rPr>
      </w:pPr>
      <w:r>
        <w:rPr>
          <w:rFonts w:hint="eastAsia" w:ascii="Arial" w:hAnsi="宋体"/>
          <w:b/>
          <w:bCs/>
          <w:color w:val="auto"/>
          <w:kern w:val="0"/>
          <w:sz w:val="32"/>
          <w:szCs w:val="32"/>
          <w:highlight w:val="none"/>
        </w:rPr>
        <w:t>供应商认为有必要提交的其他材料</w:t>
      </w:r>
    </w:p>
    <w:p>
      <w:pPr>
        <w:jc w:val="center"/>
        <w:rPr>
          <w:rFonts w:hAnsi="宋体" w:cs="新宋体-18030"/>
          <w:color w:val="auto"/>
          <w:szCs w:val="21"/>
          <w:highlight w:val="none"/>
        </w:rPr>
      </w:pPr>
      <w:r>
        <w:rPr>
          <w:rFonts w:hint="eastAsia" w:hAnsi="宋体" w:cs="新宋体-18030"/>
          <w:color w:val="auto"/>
          <w:szCs w:val="21"/>
          <w:highlight w:val="none"/>
        </w:rPr>
        <w:t>（格式自拟）</w:t>
      </w:r>
    </w:p>
    <w:p>
      <w:pPr>
        <w:jc w:val="left"/>
        <w:rPr>
          <w:rFonts w:hAnsi="宋体" w:cs="新宋体-18030"/>
          <w:color w:val="auto"/>
          <w:szCs w:val="21"/>
          <w:highlight w:val="none"/>
        </w:rPr>
      </w:pPr>
    </w:p>
    <w:p>
      <w:pPr>
        <w:jc w:val="left"/>
        <w:rPr>
          <w:rFonts w:hAnsi="宋体" w:cs="新宋体-18030"/>
          <w:color w:val="auto"/>
          <w:szCs w:val="21"/>
          <w:highlight w:val="none"/>
        </w:rPr>
      </w:pPr>
    </w:p>
    <w:p>
      <w:pPr>
        <w:jc w:val="left"/>
        <w:rPr>
          <w:color w:val="auto"/>
          <w:highlight w:val="none"/>
        </w:rPr>
      </w:pPr>
    </w:p>
    <w:p>
      <w:pPr>
        <w:pStyle w:val="2"/>
        <w:jc w:val="center"/>
        <w:rPr>
          <w:rFonts w:hAnsi="Courier New" w:cs="Courier New"/>
          <w:b w:val="0"/>
          <w:bCs w:val="0"/>
          <w:color w:val="auto"/>
          <w:szCs w:val="21"/>
          <w:highlight w:val="none"/>
        </w:rPr>
      </w:pPr>
      <w:r>
        <w:rPr>
          <w:rFonts w:hAnsi="Courier New" w:cs="Courier New"/>
          <w:color w:val="auto"/>
          <w:szCs w:val="21"/>
          <w:highlight w:val="none"/>
        </w:rPr>
        <w:t xml:space="preserve"> </w:t>
      </w:r>
    </w:p>
    <w:p>
      <w:pPr>
        <w:keepNext/>
        <w:keepLines/>
        <w:spacing w:after="120" w:line="360" w:lineRule="auto"/>
        <w:jc w:val="left"/>
        <w:outlineLvl w:val="1"/>
        <w:rPr>
          <w:rFonts w:hAnsi="Courier New" w:cs="Courier New"/>
          <w:b/>
          <w:bCs/>
          <w:color w:val="auto"/>
          <w:szCs w:val="21"/>
          <w:highlight w:val="none"/>
        </w:rPr>
      </w:pPr>
    </w:p>
    <w:p>
      <w:pPr>
        <w:spacing w:line="360" w:lineRule="auto"/>
        <w:jc w:val="center"/>
        <w:rPr>
          <w:rFonts w:ascii="宋体" w:hAnsi="宋体" w:cs="新宋体-18030"/>
          <w:color w:val="auto"/>
          <w:kern w:val="0"/>
          <w:sz w:val="24"/>
          <w:highlight w:val="none"/>
        </w:rPr>
      </w:pPr>
    </w:p>
    <w:p>
      <w:pPr>
        <w:spacing w:line="360" w:lineRule="auto"/>
        <w:jc w:val="center"/>
        <w:rPr>
          <w:rFonts w:ascii="宋体" w:hAnsi="宋体" w:cs="新宋体-18030"/>
          <w:color w:val="auto"/>
          <w:kern w:val="0"/>
          <w:sz w:val="24"/>
          <w:highlight w:val="none"/>
        </w:rPr>
      </w:pPr>
    </w:p>
    <w:p>
      <w:pPr>
        <w:spacing w:line="360" w:lineRule="auto"/>
        <w:jc w:val="center"/>
        <w:rPr>
          <w:rFonts w:ascii="宋体" w:hAnsi="宋体" w:cs="新宋体-18030"/>
          <w:color w:val="auto"/>
          <w:kern w:val="0"/>
          <w:sz w:val="24"/>
          <w:highlight w:val="none"/>
        </w:rPr>
      </w:pPr>
    </w:p>
    <w:p>
      <w:pPr>
        <w:spacing w:line="360" w:lineRule="auto"/>
        <w:jc w:val="center"/>
        <w:rPr>
          <w:rFonts w:ascii="宋体" w:hAnsi="宋体" w:cs="新宋体-18030"/>
          <w:color w:val="auto"/>
          <w:kern w:val="0"/>
          <w:sz w:val="24"/>
          <w:highlight w:val="none"/>
        </w:rPr>
      </w:pPr>
    </w:p>
    <w:p>
      <w:pPr>
        <w:spacing w:line="360" w:lineRule="auto"/>
        <w:jc w:val="center"/>
        <w:rPr>
          <w:rFonts w:ascii="宋体" w:hAnsi="宋体" w:cs="新宋体-18030"/>
          <w:color w:val="auto"/>
          <w:kern w:val="0"/>
          <w:sz w:val="24"/>
          <w:highlight w:val="none"/>
        </w:rPr>
      </w:pPr>
    </w:p>
    <w:p>
      <w:pPr>
        <w:spacing w:line="360" w:lineRule="auto"/>
        <w:jc w:val="center"/>
        <w:rPr>
          <w:rFonts w:ascii="宋体" w:hAnsi="宋体" w:cs="新宋体-18030"/>
          <w:color w:val="auto"/>
          <w:kern w:val="0"/>
          <w:sz w:val="24"/>
          <w:highlight w:val="none"/>
        </w:rPr>
      </w:pPr>
    </w:p>
    <w:p>
      <w:pPr>
        <w:keepNext/>
        <w:autoSpaceDE w:val="0"/>
        <w:autoSpaceDN w:val="0"/>
        <w:adjustRightInd w:val="0"/>
        <w:jc w:val="center"/>
        <w:outlineLvl w:val="0"/>
        <w:rPr>
          <w:rFonts w:ascii="仿宋_GB2312" w:eastAsia="仿宋_GB2312"/>
          <w:b/>
          <w:bCs/>
          <w:color w:val="auto"/>
          <w:kern w:val="0"/>
          <w:sz w:val="24"/>
          <w:szCs w:val="20"/>
          <w:highlight w:val="none"/>
          <w:lang w:val="zh-CN"/>
        </w:rPr>
        <w:sectPr>
          <w:footerReference r:id="rId3" w:type="default"/>
          <w:pgSz w:w="11906" w:h="16838"/>
          <w:pgMar w:top="936" w:right="1134" w:bottom="1089" w:left="1134" w:header="567" w:footer="567" w:gutter="0"/>
          <w:cols w:space="720" w:num="1"/>
          <w:titlePg/>
          <w:docGrid w:type="linesAndChars" w:linePitch="312" w:charSpace="0"/>
        </w:sectPr>
      </w:pPr>
      <w:bookmarkStart w:id="204" w:name="_Toc383175528"/>
    </w:p>
    <w:p>
      <w:pPr>
        <w:keepNext/>
        <w:autoSpaceDE w:val="0"/>
        <w:autoSpaceDN w:val="0"/>
        <w:adjustRightInd w:val="0"/>
        <w:jc w:val="center"/>
        <w:outlineLvl w:val="0"/>
        <w:rPr>
          <w:rFonts w:hAnsi="宋体"/>
          <w:b/>
          <w:bCs/>
          <w:color w:val="auto"/>
          <w:kern w:val="0"/>
          <w:sz w:val="32"/>
          <w:szCs w:val="20"/>
          <w:highlight w:val="none"/>
          <w:lang w:val="zh-CN"/>
        </w:rPr>
      </w:pPr>
      <w:r>
        <w:rPr>
          <w:rFonts w:hint="eastAsia" w:hAnsi="宋体"/>
          <w:b/>
          <w:bCs/>
          <w:color w:val="auto"/>
          <w:kern w:val="0"/>
          <w:sz w:val="32"/>
          <w:szCs w:val="20"/>
          <w:highlight w:val="none"/>
          <w:lang w:val="zh-CN"/>
        </w:rPr>
        <w:t>第五章</w:t>
      </w:r>
      <w:bookmarkEnd w:id="150"/>
      <w:bookmarkEnd w:id="204"/>
      <w:r>
        <w:rPr>
          <w:rFonts w:hint="eastAsia" w:hAnsi="宋体"/>
          <w:b/>
          <w:bCs/>
          <w:color w:val="auto"/>
          <w:kern w:val="0"/>
          <w:sz w:val="32"/>
          <w:szCs w:val="20"/>
          <w:highlight w:val="none"/>
          <w:lang w:val="zh-CN"/>
        </w:rPr>
        <w:t>项目需求</w:t>
      </w:r>
      <w:bookmarkStart w:id="205" w:name="_Toc86124092"/>
      <w:bookmarkStart w:id="206" w:name="_Toc383175529"/>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一、项目概况</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云南省国有金融资本控股集团有限公司座落在云南省昆明市西山区云投财富商业广场B1栋（</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-22层），建筑面积面积</w:t>
      </w:r>
      <w:r>
        <w:rPr>
          <w:rFonts w:hint="eastAsia" w:ascii="宋体" w:hAnsi="宋体" w:cs="宋体"/>
          <w:bCs/>
          <w:color w:val="auto"/>
          <w:szCs w:val="21"/>
          <w:highlight w:val="none"/>
          <w:lang w:val="en-US" w:eastAsia="zh-CN"/>
        </w:rPr>
        <w:t>5304.96</w:t>
      </w:r>
      <w:r>
        <w:rPr>
          <w:rFonts w:hint="eastAsia" w:ascii="宋体" w:hAnsi="宋体" w:cs="宋体"/>
          <w:bCs/>
          <w:color w:val="auto"/>
          <w:szCs w:val="21"/>
          <w:highlight w:val="none"/>
        </w:rPr>
        <w:t>平方米；套内面积面积约</w:t>
      </w:r>
      <w:r>
        <w:rPr>
          <w:rFonts w:hint="eastAsia" w:ascii="宋体" w:hAnsi="宋体" w:cs="宋体"/>
          <w:bCs/>
          <w:color w:val="auto"/>
          <w:szCs w:val="21"/>
          <w:highlight w:val="none"/>
          <w:lang w:val="en-US" w:eastAsia="zh-CN"/>
        </w:rPr>
        <w:t>3750</w:t>
      </w:r>
      <w:r>
        <w:rPr>
          <w:rFonts w:hint="eastAsia" w:ascii="宋体" w:hAnsi="宋体" w:cs="宋体"/>
          <w:bCs/>
          <w:color w:val="auto"/>
          <w:szCs w:val="21"/>
          <w:highlight w:val="none"/>
        </w:rPr>
        <w:t>平方米。为营造优质办公环境，树立良好企业形象，保证集团日常办公正常有序进行，需采购办公区域综合前台服务；为保证集团各项会议正常有序开展，确保各项工作高效运转，需采购会务礼仪服务；为维护整个办公楼整洁的卫生环境，保证绿化日常管养工作，展现企业优美环境和良好形象，需采购环境维护服务；为杜绝集团办公楼的治安、消防事件的发生，创造一个安全有序的办公环境，需采购秩序维护服务；为保障集团办公楼供电、供水、电梯、消防、排污等设施设备的正常运行，同时保持集团物业的可持续性，需采购设施设备维护服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二、设施设备维护服务内容及质量标准要求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（一）设备设施维护服务内容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1、做好办公楼公共部位的维护、保养，发现破损及时维修，确保办公楼的安全、美观。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2、保障办公楼内供电、供水、电梯、消防、安防、排污、排水、停车等各种设施设备正常运行、建立建全房屋使用和维修档案。</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3、配合做好装修期间现场管理及安全监督，熟悉并了解各类系统、设施设备安装过程根据后期物业服务需求，对装修设计提出合理化建议并做好相关记录;</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4、配合完成装修后期竣工验收工作及竣工资料移交、存档工作。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（二）设备设施维护</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1、对公共水电设施设备，要定期巡查，发现损坏，及时维修。</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2、公共设施设备每日巡查，每周对运行情况进行总体检查一次。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3、配电室设备每天检查一次。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4、二次供水、消防泵房每周检查一次。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5、电梯机房，每月保养一次(半年保养和一年保养按规定进行)。</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6、及时更换和修复损坏的灯泡、灯具、开关等电器设备，保证各种电气设施和元件的完好。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7、对破损和老化设施发现问题及时进行更换和修补，定期擦拭灰尘、污渍和刷防腐漆等。</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（三）维修率</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对设施、设备进行日常管理和维修养护，使用完好率达90%以上，急修及时率达90%。建筑物内、外的照明灯具完好率不低于90%，损坏应及时进行修复。</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三、环境维护服务内容及质量标准要求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（一）保洁服务范围及内容：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1、办公室、会议室、接待室、公共通道、卫生间、门窗、灯具、办公家具、楼梯扶手、指示牌及附属设施的日常卫生清洁。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2、垃圾定点收集、清理，垃圾桶定期清洁消毒处理。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3、对环卫设施、公共卫生间等易孳生病菌传染源区域定期开展消毒杀菌及灭“四害”工作。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4、负责卫生间清洁用品（如卷纸、洗手液）等的及时补充。</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（二）保洁服务标准：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清洁、保洁实行责任制，有专职保洁人员和明确的责任范围，实行标准化作业。</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1、各区域清洁要求: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大厅、楼内、公共通道地面干净、无污渍，有光泽，保持地面材质原貌；门框、窗框、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（2）办公室、会议室、接待室地面、墙面、干净，无灰尘、污渍；天花板、风口目视无灰尘、污渍；桌椅干净，物品摆放整齐、有序。</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（3）楼梯及楼梯间梯步表面干净无污渍，防滑条(缝)干净，扶手栏杆表面干净无灰尘，防火门及闭门器表面干净无污渍，墙面、天花板无积尘、蛛网。</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公共卫生间地面干净，无污渍、无积水、无异味，大小便器表面干净，无污渍，有光泽；各种隔断表面干净，无乱写乱画，金属饰件表面干净，无污迹，有金属光泽；墙壁表面干净，天花板无污渍、蛛网；风口或换气扇表面干净无积尘；门窗表面干净，窗台无灰尘；玻璃干净无水渍。</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（5）洗手台干净无积水，面盆无污垢；各种管道表面干净无污渍；各种物品摆放整齐规范；废纸篓杂物超过2/3应及时倾倒，卫生间内空气流通并且无明显异味。</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（6）顶部各种管网、灯具表面干净无积尘、蛛网；墙面干净无积尘，各种指示牌表面干净有光泽；消防器材表面干净，摆放整齐；</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7）电梯及电梯厅电梯轿厢四壁光洁明亮，操作面板无污迹、无灰尘、无印迹，地面干净，空气清新、无异味；电梯凹槽内无垃圾无杂物，按钮表面干净无印迹；扶手表面干净无灰尘、污渍，玻璃表面干净透光性好，不锈钢光亮无尘；梳齿板内无杂物污渍；厅内地面干净有光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（8）电器设施灯泡、灯管、灯无积尘、无污迹。装饰件无积尘、无污迹；关、插座、配电箱无积尘、无明显污迹。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（9）垃圾桶及果皮箱桶、箱按指定位置摆放，桶身表面干净无污渍、无痰迹，烟灰缸内烟头不应超过3个，垃圾不应超过2/3 ，内胆应定期清洁、消毒。</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10）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（11）垃圾清运。垃圾应及时清运，袋装垃圾摆放整齐，垃圾放置区域地面无明显垃圾，无污水外溢，无明显异味。</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（12）设备机房、管道、指示牌无卫生死角、无垃圾堆积，无积尘、目视无蜘蛛网、无明显污渍、无水渍；指示牌、广告牌无灰尘、无污迹，金属件表面光亮，无痕迹。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（13）环境消杀管理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消杀工作应在尽量不影响业主工作的前提下进行，如上班前、下班后或者利用节假日等；消杀使用的药剂应是有关部门发放或者是使用低毒高效的药剂，在消杀过程中注意做好个人防护。</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（14）保洁工作中的应急处理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办公楼如出现自来水爆管、化粪池外溢、公共性疫情等情况，应启动相应的应急预案，全力配合有关部门，保障业主人身安全，减少财产损失。</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2、保洁频次：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（1）办公室、会议室清洁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1）办公室、会议室地面清扫：每天打扫，接待完毕立即打扫；</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2）办公室、会议室墙面、开关、空调清扫：每个星期一次；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3）家具、办公桌椅清洁：每天清洁，每个星期一次大清洁；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4）垃圾收集：每天收集。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会客</w:t>
      </w:r>
      <w:r>
        <w:rPr>
          <w:rFonts w:hint="eastAsia" w:ascii="宋体" w:hAnsi="宋体" w:cs="宋体"/>
          <w:bCs/>
          <w:color w:val="auto"/>
          <w:szCs w:val="21"/>
          <w:highlight w:val="none"/>
        </w:rPr>
        <w:t>室清洁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1）地毯的清洁：接待完毕立即吸尘，平时每天吸尘，一星期一次大清洁；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2）墙面、开关、空调清扫：每天抹尘，一星期一次大清洁；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3）家具、办公桌椅清洁：每天抹尘，一星期一次大清洁；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4）垃圾桶清洁：接待完毕立即更换垃圾袋和抹尘。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（3）一楼大厅的清洁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1）大厅地面清洁：每天打扫，平时随时保洁；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2）大厅外地垫清洁：一个星期清洗一次；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3）休息区清洁：每天清洁，接待完毕立即清洗；</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4）墙面、开关清洁：开关每天抹尘，墙面一个星期做一次清洁；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5）消防栓柜、防火门、门窗框、指示牌、内墙面等公共设施清洁：每天抹尘；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6）垃圾桶清洁：每天抹尘，更换垃圾袋，一个星期大清洗一次。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（4）公共洗手间清洁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1）洗手间清洁：每天上下班各打扫一次，平时随时保洁，发现问题立即处理；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2）洗手台清洁：每天上下班各清洗一次，平时随时保洁；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（5）电梯清洁：每天清洁一次，平时随时保洁。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（6）镜面清洁：每天清洁。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（7）楼宇过道清洁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1）地面清洁：每天打扫，平时随时保洁；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2）墙面、开关清洁：每天抹尘，清扫墙面；</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3）消防栓柜、防火门、门窗框、指示牌、内墙面等公共设施清洁：每天抹尘；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4）垃圾桶清洁：每天抹尘更换垃圾袋，一个星期大清洗一次。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（8）楼道清洁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1）楼梯清洁：每天清洁，平时随时保洁；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2）扶手及栏杆清洁：每天清洁，平时随时保洁；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3）消防栓、管清洁：每天抹尘；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4）墙面、开关清洁：每天抹尘清扫；</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5）窗户玻璃清洁：每月清洁两次。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（9）停车场及道路清洁：每天打扫，每月冲洗一次。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（10）灯具的清洁：半个月清扫一次。</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（11）露台(包括天台、平台、阳台)清洁：每周清扫一次地面，疏通地漏及水沟。</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（12）消杀：定期消杀，灭四害。</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四、秩序维护服务内容及质量标准要求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（一）秩序维护服务内容及质量标准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1、物业管理范围内实行24小时保安值班巡逻制度，对所有公共区域进行不间断监控，对外来人员进行来访登记。对安全重要部位及重点防护部分进行有效巡视及保护，充分发挥人防、技防相结合之安保措施。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高度危险品禁止进入物业红线范围内，日常工作中需使用的易燃、易爆品在物业内的存量不应超过一次工作的消耗量，且进出大楼有严格管理程序，进出时间、路线均有详细管理规定及记录，并有相应应急措施。</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3、所有工作人员在工作期间均着统一制服及工牌，在管理及服务工作中做到礼貌、周到。</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4、安保人员值勤有明显标志，熟悉大楼情况，工作规范，作风严谨，有值班巡逻记录，各项安保措施落实。</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5、对进出的各类车辆及人员，应先敬礼再履行执勤程序，保持交通秩序畅通。</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6、停车场车辆停放有序，场地清洁卫生无污染、无破损，车辆管理制度完善。</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（二）消防配套管理服务内容及质量标准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1、消防系统标志明显，设备完好，消防设施使用方便，保证可随时启用。</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2、配备专职或兼职消防管理人员，定期对消防设施设备进行巡查，发现问题及时处理，组织计划消防培训及演练，确保所有人员的消防安全。</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3、消防通道畅通无阻，并有明显导向指示及足够照明。</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4、所有消防设施、设备、辅件必须符合相关消防规范。</w:t>
      </w:r>
    </w:p>
    <w:p>
      <w:pPr>
        <w:widowControl/>
        <w:adjustRightInd w:val="0"/>
        <w:snapToGrid w:val="0"/>
        <w:spacing w:line="596"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5、消防设备设施保证正常使用，定期进行检测，并有运行检查记录。</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五、会务礼仪服务内容及质量标准要求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（一）前台接待及会务保障服务内容</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1、负责来访客户的接待工作，包括为客户让座、递上茶水，咨询客户来访意图，对客户来访进行登记、联系、引导。</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2、负责会议室会议期间的会前、会中、会后服务，其他非会议期间会议室的卫生、茶具、会议设备维护工作。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（二）会务保障服务标准</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会议室提前30分钟做好相关准备工作，检查空调、灯光、音响、话简、显示屏、茶叶、烟灰缸、会标、会务用具、面巾纸、光碟、投影仪、会议用具摆放形式，并逐一对照落实；如有重大会议或特殊情况下，根据需求另增加安排人员。</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2、会议室开始前10分钟，会务人员站在会议室门口微笑迎接与会人员到来，并致意问好。加完茶水以后，站在方便与会人员招呼的位置，满足与会人员提出的其他合理要求。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3、会议期间、会务人员必须密切关注会场动态，对与会人员意外的表现，主动礼貌上前询问有关情况，切身体会会场环境是否符合既定的要求，并针对出现的问题果断迅速处理，提高应变能力。</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4、会议结束，会务服务人员应立即打开会议室门，并微笑站立、恭送与会领导，会议结束以后，以口头或书面形式主动征询、会议组织单位或与会人员意见。</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5、会后整理会场，清点用品数目，清洗消毒保存，对灯光、音响、桌椅、门窗、地面、空调、消防栓、灭火器等设备进行检查，发现问题及时上报维修，消除一切安全隐患。</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6、遵守对方单位规章制度、保密等有关规定、建立突发情况的应急处理机制。</w:t>
      </w:r>
    </w:p>
    <w:p>
      <w:pPr>
        <w:widowControl/>
        <w:adjustRightInd w:val="0"/>
        <w:snapToGrid w:val="0"/>
        <w:spacing w:line="596"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六、客户综合管理服务内容及质量标准要求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1、了解和组织落实客户的服务需求，最大可能的满足业主的需要，处理好客户的有效投诉，确保服务质量。</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2、协助业主制定并实施管理工作的工作目标、工作计划。</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3、接受业主的报修需求，进行事后回访，满意度调查等日常性工作。</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4、接受业主监督，对业主提出的服务管理方面存在的问题2小内响应并及时整改达到业主要求。</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七、人员及装备物资配置要求</w:t>
      </w:r>
    </w:p>
    <w:p>
      <w:pPr>
        <w:adjustRightInd w:val="0"/>
        <w:snapToGrid w:val="0"/>
        <w:spacing w:line="360" w:lineRule="auto"/>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为保证云南省国有金融资本控股集团有限公司办公区域服务工作的正常运行，供应商须保障其配备的服务团队人员在项目服务期间内的稳定性，不得随意更换、减少；供应商需在本地设有长期固定的项目服务团队，拟派项目服务团队人员不得少于本项目需求人员；供应商负责支付本项目服务人员的工资、福利、社保、服装费等相关费用，所支付工资标准不得低于昆明市一类地区最低工资标准，并按现行劳动相关法规为本项目服务人员购买社保统筹保险（五险）。供应商须对上述要求进行承诺以及提供必要的客观支撑材料。</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（1）人员配置</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物业负责人1名，会务服务人员</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名，环境维护人员</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名，秩序维护人员</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名人。</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（2）人员要求</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1.物业负责人：</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须具备大专以上学历，年龄为30-4</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周岁，具有5年以上物业管理工作经验，有良好素养和职业道德。具备沟通及管理能力，能胜任管理工作，负责物业管理全面工作，安排所辖管理区域的秩序维护、环境保洁、设施维护等工作。</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2.会务服务人员：</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女性，身高1.63m以上，年龄为20-30周岁，大专以上学历（含大专学历），身体健康，形象气质佳，普通话流利，有良好素养和职业道德。能胜任会议综合服务工作，需参加过岗前培训。</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3.环境维护人员</w:t>
      </w:r>
    </w:p>
    <w:p>
      <w:pPr>
        <w:widowControl/>
        <w:adjustRightInd w:val="0"/>
        <w:snapToGrid w:val="0"/>
        <w:spacing w:line="596"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年龄为20-40周岁，身体健康，有从事过写字楼保洁工作经验，有良好素养和职业道德，能胜任环境维护工作，需参加过岗前培训。</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4.秩序维护人员：</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男性，身高1.68m以上，年龄为20至35周岁，持有公安机关核准的保安员证，身体健康，具有必要的法律知识、保安业务知识和技能，有责任心，有处理突发事故的经验和办公楼秩序维护工作经历，有良好素养和职业道德。</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.以上所有岗位人员均需提供健康证明文件。</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（3）装备物资配置要求</w:t>
      </w:r>
    </w:p>
    <w:p>
      <w:pPr>
        <w:widowControl/>
        <w:adjustRightInd w:val="0"/>
        <w:snapToGrid w:val="0"/>
        <w:spacing w:line="596"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保洁所需易耗品及保洁用具，会务耗材，安保所需耗材，服务人员服装（需统一着装），日常维护耗材及维修工具等均由供应商负责，在服务期内不再另行收取费用。</w:t>
      </w:r>
    </w:p>
    <w:p>
      <w:pPr>
        <w:widowControl/>
        <w:adjustRightInd w:val="0"/>
        <w:snapToGrid w:val="0"/>
        <w:spacing w:line="596" w:lineRule="exact"/>
        <w:rPr>
          <w:color w:val="auto"/>
          <w:highlight w:val="none"/>
        </w:rPr>
      </w:pPr>
      <w:r>
        <w:rPr>
          <w:color w:val="auto"/>
          <w:highlight w:val="none"/>
        </w:rPr>
        <w:br w:type="page"/>
      </w:r>
    </w:p>
    <w:p>
      <w:pPr>
        <w:keepNext/>
        <w:autoSpaceDE w:val="0"/>
        <w:autoSpaceDN w:val="0"/>
        <w:adjustRightInd w:val="0"/>
        <w:jc w:val="center"/>
        <w:outlineLvl w:val="0"/>
        <w:rPr>
          <w:rFonts w:hAnsi="宋体"/>
          <w:b/>
          <w:bCs/>
          <w:color w:val="auto"/>
          <w:kern w:val="0"/>
          <w:sz w:val="32"/>
          <w:szCs w:val="20"/>
          <w:highlight w:val="none"/>
        </w:rPr>
      </w:pPr>
      <w:r>
        <w:rPr>
          <w:rFonts w:hint="eastAsia" w:hAnsi="宋体"/>
          <w:b/>
          <w:bCs/>
          <w:color w:val="auto"/>
          <w:kern w:val="0"/>
          <w:sz w:val="32"/>
          <w:szCs w:val="20"/>
          <w:highlight w:val="none"/>
          <w:lang w:val="zh-CN"/>
        </w:rPr>
        <w:t>第六章磋商程序和方法</w:t>
      </w:r>
      <w:bookmarkEnd w:id="205"/>
      <w:bookmarkEnd w:id="206"/>
    </w:p>
    <w:p>
      <w:pPr>
        <w:keepNext/>
        <w:keepLines/>
        <w:spacing w:after="120" w:line="360" w:lineRule="auto"/>
        <w:jc w:val="center"/>
        <w:outlineLvl w:val="1"/>
        <w:rPr>
          <w:b/>
          <w:bCs/>
          <w:color w:val="auto"/>
          <w:kern w:val="0"/>
          <w:sz w:val="32"/>
          <w:szCs w:val="28"/>
          <w:highlight w:val="none"/>
        </w:rPr>
      </w:pPr>
      <w:bookmarkStart w:id="207" w:name="_Toc86124093"/>
      <w:bookmarkStart w:id="208" w:name="_Toc383175530"/>
      <w:bookmarkStart w:id="209" w:name="_Toc191374457"/>
      <w:r>
        <w:rPr>
          <w:rFonts w:hint="eastAsia"/>
          <w:b/>
          <w:bCs/>
          <w:color w:val="auto"/>
          <w:kern w:val="0"/>
          <w:sz w:val="32"/>
          <w:szCs w:val="28"/>
          <w:highlight w:val="none"/>
          <w:lang w:val="zh-CN"/>
        </w:rPr>
        <w:t>磋商程序和方法前附表</w:t>
      </w:r>
      <w:bookmarkEnd w:id="207"/>
      <w:bookmarkEnd w:id="208"/>
      <w:bookmarkEnd w:id="209"/>
    </w:p>
    <w:tbl>
      <w:tblPr>
        <w:tblStyle w:val="59"/>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64"/>
        <w:gridCol w:w="993"/>
        <w:gridCol w:w="1701"/>
        <w:gridCol w:w="6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Header/>
          <w:jc w:val="center"/>
        </w:trPr>
        <w:tc>
          <w:tcPr>
            <w:tcW w:w="1557" w:type="dxa"/>
            <w:gridSpan w:val="2"/>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b/>
                <w:bCs/>
                <w:color w:val="auto"/>
                <w:szCs w:val="21"/>
                <w:highlight w:val="none"/>
                <w:lang w:val="zh-TW" w:eastAsia="zh-TW"/>
              </w:rPr>
              <w:t>条款号</w:t>
            </w:r>
          </w:p>
        </w:tc>
        <w:tc>
          <w:tcPr>
            <w:tcW w:w="1701" w:type="dxa"/>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b/>
                <w:bCs/>
                <w:color w:val="auto"/>
                <w:szCs w:val="21"/>
                <w:highlight w:val="none"/>
                <w:lang w:val="zh-TW" w:eastAsia="zh-TW"/>
              </w:rPr>
              <w:t>审查内容</w:t>
            </w:r>
          </w:p>
        </w:tc>
        <w:tc>
          <w:tcPr>
            <w:tcW w:w="6374" w:type="dxa"/>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b/>
                <w:bCs/>
                <w:color w:val="auto"/>
                <w:szCs w:val="21"/>
                <w:highlight w:val="none"/>
                <w:lang w:val="zh-TW" w:eastAsia="zh-TW"/>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564" w:type="dxa"/>
            <w:vMerge w:val="restart"/>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color w:val="auto"/>
                <w:szCs w:val="21"/>
                <w:highlight w:val="none"/>
              </w:rPr>
              <w:t>2.1</w:t>
            </w:r>
          </w:p>
        </w:tc>
        <w:tc>
          <w:tcPr>
            <w:tcW w:w="993" w:type="dxa"/>
            <w:vMerge w:val="restart"/>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color w:val="auto"/>
                <w:szCs w:val="21"/>
                <w:highlight w:val="none"/>
                <w:lang w:val="zh-TW" w:eastAsia="zh-TW"/>
              </w:rPr>
              <w:t>实质性要求审查标准</w:t>
            </w:r>
          </w:p>
        </w:tc>
        <w:tc>
          <w:tcPr>
            <w:tcW w:w="1701" w:type="dxa"/>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color w:val="auto"/>
                <w:szCs w:val="21"/>
                <w:highlight w:val="none"/>
                <w:lang w:val="zh-TW" w:eastAsia="zh-TW"/>
              </w:rPr>
              <w:t>资格条件</w:t>
            </w:r>
          </w:p>
        </w:tc>
        <w:tc>
          <w:tcPr>
            <w:tcW w:w="6374" w:type="dxa"/>
            <w:shd w:val="clear" w:color="auto" w:fill="FFFFFF"/>
            <w:tcMar>
              <w:top w:w="80" w:type="dxa"/>
              <w:left w:w="80" w:type="dxa"/>
              <w:bottom w:w="80" w:type="dxa"/>
              <w:right w:w="80" w:type="dxa"/>
            </w:tcMar>
            <w:vAlign w:val="center"/>
          </w:tcPr>
          <w:p>
            <w:pPr>
              <w:spacing w:before="100" w:after="100"/>
              <w:jc w:val="center"/>
              <w:rPr>
                <w:rFonts w:eastAsia="Times New Roman"/>
                <w:color w:val="auto"/>
                <w:szCs w:val="21"/>
                <w:highlight w:val="none"/>
              </w:rPr>
            </w:pPr>
            <w:r>
              <w:rPr>
                <w:rFonts w:ascii="宋体" w:hAnsi="宋体" w:cs="宋体"/>
                <w:color w:val="auto"/>
                <w:szCs w:val="21"/>
                <w:highlight w:val="none"/>
                <w:lang w:val="zh-TW" w:eastAsia="zh-TW"/>
              </w:rPr>
              <w:t>符合第二章</w:t>
            </w:r>
            <w:r>
              <w:rPr>
                <w:rFonts w:ascii="宋体" w:hAnsi="宋体" w:cs="宋体"/>
                <w:color w:val="auto"/>
                <w:szCs w:val="21"/>
                <w:highlight w:val="none"/>
              </w:rPr>
              <w:t>“</w:t>
            </w:r>
            <w:r>
              <w:rPr>
                <w:rFonts w:ascii="宋体" w:hAnsi="宋体" w:cs="宋体"/>
                <w:color w:val="auto"/>
                <w:szCs w:val="21"/>
                <w:highlight w:val="none"/>
                <w:lang w:val="zh-TW" w:eastAsia="zh-TW"/>
              </w:rPr>
              <w:t>供应商须知</w:t>
            </w:r>
            <w:r>
              <w:rPr>
                <w:rFonts w:ascii="宋体" w:hAnsi="宋体" w:cs="宋体"/>
                <w:color w:val="auto"/>
                <w:szCs w:val="21"/>
                <w:highlight w:val="none"/>
              </w:rPr>
              <w:t>”</w:t>
            </w:r>
            <w:r>
              <w:rPr>
                <w:rFonts w:ascii="宋体" w:hAnsi="宋体" w:cs="宋体"/>
                <w:color w:val="auto"/>
                <w:szCs w:val="21"/>
                <w:highlight w:val="none"/>
                <w:lang w:val="zh-TW" w:eastAsia="zh-TW"/>
              </w:rPr>
              <w:t>第</w:t>
            </w:r>
            <w:r>
              <w:rPr>
                <w:rFonts w:ascii="宋体" w:hAnsi="宋体" w:cs="宋体"/>
                <w:color w:val="auto"/>
                <w:szCs w:val="21"/>
                <w:highlight w:val="none"/>
              </w:rPr>
              <w:t>4</w:t>
            </w:r>
            <w:r>
              <w:rPr>
                <w:rFonts w:ascii="宋体" w:hAnsi="宋体" w:cs="宋体"/>
                <w:color w:val="auto"/>
                <w:szCs w:val="21"/>
                <w:highlight w:val="none"/>
                <w:lang w:val="zh-TW" w:eastAsia="zh-TW"/>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法定代表人身份证明书</w:t>
            </w:r>
          </w:p>
        </w:tc>
        <w:tc>
          <w:tcPr>
            <w:tcW w:w="6374" w:type="dxa"/>
            <w:shd w:val="clear" w:color="auto" w:fill="FFFFFF"/>
            <w:tcMar>
              <w:top w:w="80" w:type="dxa"/>
              <w:left w:w="80" w:type="dxa"/>
              <w:bottom w:w="80" w:type="dxa"/>
              <w:right w:w="80" w:type="dxa"/>
            </w:tcMar>
            <w:vAlign w:val="center"/>
          </w:tcPr>
          <w:p>
            <w:pPr>
              <w:rPr>
                <w:rFonts w:eastAsia="Times New Roman"/>
                <w:color w:val="auto"/>
                <w:szCs w:val="21"/>
                <w:highlight w:val="none"/>
              </w:rPr>
            </w:pPr>
            <w:r>
              <w:rPr>
                <w:rFonts w:ascii="宋体" w:hAnsi="宋体" w:cs="宋体"/>
                <w:color w:val="auto"/>
                <w:szCs w:val="21"/>
                <w:highlight w:val="none"/>
                <w:lang w:val="zh-TW" w:eastAsia="zh-TW"/>
              </w:rPr>
              <w:t>符合磋商文件规定格式及内容，并盖单位章；资格证明文件文件正本中法定代表人身份证明书为原件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法定代表人授权委托书</w:t>
            </w:r>
          </w:p>
        </w:tc>
        <w:tc>
          <w:tcPr>
            <w:tcW w:w="6374" w:type="dxa"/>
            <w:shd w:val="clear" w:color="auto" w:fill="FFFFFF"/>
            <w:tcMar>
              <w:top w:w="80" w:type="dxa"/>
              <w:left w:w="80" w:type="dxa"/>
              <w:bottom w:w="80" w:type="dxa"/>
              <w:right w:w="80" w:type="dxa"/>
            </w:tcMar>
            <w:vAlign w:val="center"/>
          </w:tcPr>
          <w:p>
            <w:pPr>
              <w:rPr>
                <w:rFonts w:eastAsia="Times New Roman"/>
                <w:color w:val="auto"/>
                <w:szCs w:val="21"/>
                <w:highlight w:val="none"/>
              </w:rPr>
            </w:pPr>
            <w:r>
              <w:rPr>
                <w:rFonts w:ascii="宋体" w:hAnsi="宋体" w:cs="宋体"/>
                <w:color w:val="auto"/>
                <w:szCs w:val="21"/>
                <w:highlight w:val="none"/>
                <w:lang w:val="zh-TW" w:eastAsia="zh-TW"/>
              </w:rPr>
              <w:t>有法定代表人及其委托代理人签字，并盖单位章；符合磋商文件规定格式及内容；资格证明文件正本中法定代表人授权委托书为原件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shd w:val="clear" w:color="auto" w:fill="FFFFFF"/>
            <w:tcMar>
              <w:top w:w="80" w:type="dxa"/>
              <w:left w:w="80" w:type="dxa"/>
              <w:bottom w:w="80" w:type="dxa"/>
              <w:right w:w="80" w:type="dxa"/>
            </w:tcMar>
            <w:vAlign w:val="center"/>
          </w:tcPr>
          <w:p>
            <w:pPr>
              <w:spacing w:before="100" w:after="100" w:line="300" w:lineRule="exact"/>
              <w:jc w:val="center"/>
              <w:rPr>
                <w:rFonts w:eastAsia="Times New Roman"/>
                <w:color w:val="auto"/>
                <w:szCs w:val="21"/>
                <w:highlight w:val="none"/>
              </w:rPr>
            </w:pPr>
            <w:r>
              <w:rPr>
                <w:rFonts w:ascii="宋体" w:hAnsi="宋体" w:cs="宋体"/>
                <w:color w:val="auto"/>
                <w:szCs w:val="21"/>
                <w:highlight w:val="none"/>
                <w:lang w:val="zh-TW" w:eastAsia="zh-TW"/>
              </w:rPr>
              <w:t>磋商报价</w:t>
            </w:r>
          </w:p>
        </w:tc>
        <w:tc>
          <w:tcPr>
            <w:tcW w:w="6374" w:type="dxa"/>
            <w:shd w:val="clear" w:color="auto" w:fill="FFFFFF"/>
            <w:tcMar>
              <w:top w:w="80" w:type="dxa"/>
              <w:left w:w="80" w:type="dxa"/>
              <w:bottom w:w="80" w:type="dxa"/>
              <w:right w:w="80" w:type="dxa"/>
            </w:tcMar>
            <w:vAlign w:val="center"/>
          </w:tcPr>
          <w:p>
            <w:pPr>
              <w:spacing w:before="100" w:after="100" w:line="300" w:lineRule="exact"/>
              <w:jc w:val="center"/>
              <w:rPr>
                <w:rFonts w:eastAsia="Times New Roman"/>
                <w:color w:val="auto"/>
                <w:szCs w:val="21"/>
                <w:highlight w:val="none"/>
              </w:rPr>
            </w:pPr>
            <w:r>
              <w:rPr>
                <w:rFonts w:ascii="宋体" w:hAnsi="宋体" w:cs="宋体"/>
                <w:color w:val="auto"/>
                <w:szCs w:val="21"/>
                <w:highlight w:val="none"/>
                <w:lang w:val="zh-TW" w:eastAsia="zh-TW"/>
              </w:rPr>
              <w:t>报价完整且仅有一个报价方案，</w:t>
            </w:r>
            <w:r>
              <w:rPr>
                <w:rFonts w:hint="eastAsia" w:ascii="宋体" w:hAnsi="宋体" w:cs="宋体"/>
                <w:b/>
                <w:bCs/>
                <w:color w:val="auto"/>
                <w:szCs w:val="21"/>
                <w:highlight w:val="none"/>
                <w:lang w:val="zh-TW" w:eastAsia="zh-TW"/>
              </w:rPr>
              <w:t>且不超磋商控制价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响应文件的编制</w:t>
            </w:r>
          </w:p>
        </w:tc>
        <w:tc>
          <w:tcPr>
            <w:tcW w:w="6374" w:type="dxa"/>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符合磋商文件格式、资料提供</w:t>
            </w:r>
            <w:r>
              <w:rPr>
                <w:rFonts w:hint="eastAsia" w:ascii="宋体" w:hAnsi="宋体" w:cs="宋体"/>
                <w:color w:val="auto"/>
                <w:szCs w:val="21"/>
                <w:highlight w:val="none"/>
                <w:lang w:val="zh-TW"/>
              </w:rPr>
              <w:t>要求</w:t>
            </w:r>
            <w:r>
              <w:rPr>
                <w:rFonts w:ascii="宋体" w:hAnsi="宋体" w:cs="宋体"/>
                <w:color w:val="auto"/>
                <w:szCs w:val="21"/>
                <w:highlight w:val="none"/>
                <w:lang w:val="zh-TW" w:eastAsia="zh-TW"/>
              </w:rPr>
              <w:t>、文件签署等的要求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vMerge w:val="restart"/>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其它实质性条件</w:t>
            </w:r>
          </w:p>
        </w:tc>
        <w:tc>
          <w:tcPr>
            <w:tcW w:w="6374" w:type="dxa"/>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关键内容字迹潦草、表达不清、未按要求填写而导致非唯一理解的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vMerge w:val="continue"/>
            <w:shd w:val="clear" w:color="auto" w:fill="FFFFFF"/>
            <w:tcMar>
              <w:top w:w="80" w:type="dxa"/>
              <w:left w:w="80" w:type="dxa"/>
              <w:bottom w:w="80" w:type="dxa"/>
              <w:right w:w="80" w:type="dxa"/>
            </w:tcMar>
            <w:vAlign w:val="center"/>
          </w:tcPr>
          <w:p>
            <w:pPr>
              <w:jc w:val="center"/>
              <w:rPr>
                <w:rFonts w:ascii="宋体" w:hAnsi="宋体" w:cs="宋体"/>
                <w:color w:val="auto"/>
                <w:szCs w:val="21"/>
                <w:highlight w:val="none"/>
                <w:lang w:val="zh-TW" w:eastAsia="zh-TW"/>
              </w:rPr>
            </w:pPr>
          </w:p>
        </w:tc>
        <w:tc>
          <w:tcPr>
            <w:tcW w:w="6374" w:type="dxa"/>
            <w:shd w:val="clear" w:color="auto" w:fill="FFFFFF"/>
            <w:tcMar>
              <w:top w:w="80" w:type="dxa"/>
              <w:left w:w="80" w:type="dxa"/>
              <w:bottom w:w="80" w:type="dxa"/>
              <w:right w:w="80" w:type="dxa"/>
            </w:tcMar>
            <w:vAlign w:val="center"/>
          </w:tcPr>
          <w:p>
            <w:pPr>
              <w:jc w:val="center"/>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商务条款及技术要求的应答出现完全或绝大部分复制磋商文件要求，且未提供相应支撑材料的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64" w:type="dxa"/>
            <w:vMerge w:val="continue"/>
            <w:shd w:val="clear" w:color="auto" w:fill="FFFFFF"/>
          </w:tcPr>
          <w:p>
            <w:pPr>
              <w:widowControl/>
              <w:jc w:val="left"/>
              <w:rPr>
                <w:color w:val="auto"/>
                <w:kern w:val="0"/>
                <w:sz w:val="24"/>
                <w:highlight w:val="none"/>
              </w:rPr>
            </w:pPr>
          </w:p>
        </w:tc>
        <w:tc>
          <w:tcPr>
            <w:tcW w:w="993" w:type="dxa"/>
            <w:vMerge w:val="continue"/>
            <w:shd w:val="clear" w:color="auto" w:fill="FFFFFF"/>
          </w:tcPr>
          <w:p>
            <w:pPr>
              <w:widowControl/>
              <w:jc w:val="left"/>
              <w:rPr>
                <w:color w:val="auto"/>
                <w:kern w:val="0"/>
                <w:sz w:val="24"/>
                <w:highlight w:val="none"/>
              </w:rPr>
            </w:pPr>
          </w:p>
        </w:tc>
        <w:tc>
          <w:tcPr>
            <w:tcW w:w="1701" w:type="dxa"/>
            <w:vMerge w:val="continue"/>
            <w:shd w:val="clear" w:color="auto" w:fill="FFFFFF"/>
          </w:tcPr>
          <w:p>
            <w:pPr>
              <w:widowControl/>
              <w:jc w:val="left"/>
              <w:rPr>
                <w:color w:val="auto"/>
                <w:kern w:val="0"/>
                <w:sz w:val="24"/>
                <w:highlight w:val="none"/>
              </w:rPr>
            </w:pPr>
          </w:p>
        </w:tc>
        <w:tc>
          <w:tcPr>
            <w:tcW w:w="6374" w:type="dxa"/>
            <w:shd w:val="clear" w:color="auto" w:fill="FFFFFF"/>
            <w:tcMar>
              <w:top w:w="80" w:type="dxa"/>
              <w:left w:w="80" w:type="dxa"/>
              <w:bottom w:w="80" w:type="dxa"/>
              <w:right w:w="80" w:type="dxa"/>
            </w:tcMar>
            <w:vAlign w:val="center"/>
          </w:tcPr>
          <w:p>
            <w:pPr>
              <w:jc w:val="center"/>
              <w:rPr>
                <w:rFonts w:eastAsia="Times New Roman"/>
                <w:color w:val="auto"/>
                <w:szCs w:val="21"/>
                <w:highlight w:val="none"/>
              </w:rPr>
            </w:pPr>
            <w:r>
              <w:rPr>
                <w:rFonts w:ascii="宋体" w:hAnsi="宋体" w:cs="宋体"/>
                <w:color w:val="auto"/>
                <w:szCs w:val="21"/>
                <w:highlight w:val="none"/>
                <w:lang w:val="zh-TW" w:eastAsia="zh-TW"/>
              </w:rPr>
              <w:t>符合法律、法规和磋商文件的要求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557" w:type="dxa"/>
            <w:gridSpan w:val="2"/>
            <w:shd w:val="clear" w:color="auto" w:fill="FFFFFF"/>
            <w:vAlign w:val="center"/>
          </w:tcPr>
          <w:p>
            <w:pPr>
              <w:spacing w:before="100" w:after="100"/>
              <w:jc w:val="center"/>
              <w:rPr>
                <w:rFonts w:ascii="宋体" w:hAnsi="宋体" w:cs="宋体"/>
                <w:color w:val="auto"/>
                <w:szCs w:val="21"/>
                <w:highlight w:val="none"/>
              </w:rPr>
            </w:pPr>
            <w:r>
              <w:rPr>
                <w:rFonts w:ascii="宋体" w:hAnsi="宋体" w:cs="宋体"/>
                <w:color w:val="auto"/>
                <w:szCs w:val="21"/>
                <w:highlight w:val="none"/>
              </w:rPr>
              <w:t>2.2</w:t>
            </w:r>
          </w:p>
        </w:tc>
        <w:tc>
          <w:tcPr>
            <w:tcW w:w="8075" w:type="dxa"/>
            <w:gridSpan w:val="2"/>
            <w:shd w:val="clear" w:color="auto" w:fill="FFFFFF"/>
          </w:tcPr>
          <w:p>
            <w:pPr>
              <w:spacing w:before="100" w:after="100"/>
              <w:jc w:val="left"/>
              <w:rPr>
                <w:rFonts w:ascii="宋体" w:hAns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综合评分法：是指响应文件满足磋商文件全部实质性要求且按评审因素的量化指标评审得分最高的供应商为成交候选供应商的评审方法。本项目评审细则详见下表。</w:t>
            </w:r>
          </w:p>
          <w:p>
            <w:pPr>
              <w:spacing w:before="100" w:after="100"/>
              <w:jc w:val="left"/>
              <w:rPr>
                <w:rFonts w:ascii="宋体" w:hAnsi="宋体" w:cs="宋体"/>
                <w:color w:val="auto"/>
                <w:szCs w:val="21"/>
                <w:highlight w:val="none"/>
              </w:rPr>
            </w:pPr>
            <w:r>
              <w:rPr>
                <w:rFonts w:hint="eastAsia" w:ascii="宋体" w:hAnsi="宋体" w:cs="宋体"/>
                <w:color w:val="auto"/>
                <w:szCs w:val="21"/>
                <w:highlight w:val="none"/>
              </w:rPr>
              <w:t>评分配比</w:t>
            </w:r>
            <w:r>
              <w:rPr>
                <w:rFonts w:ascii="宋体" w:hAnsi="宋体" w:cs="宋体"/>
                <w:color w:val="auto"/>
                <w:szCs w:val="21"/>
                <w:highlight w:val="none"/>
              </w:rPr>
              <w:t xml:space="preserve">: </w:t>
            </w:r>
          </w:p>
          <w:p>
            <w:pPr>
              <w:jc w:val="left"/>
              <w:rPr>
                <w:rFonts w:ascii="宋体" w:hAnsi="宋体" w:cs="宋体"/>
                <w:color w:val="auto"/>
                <w:szCs w:val="21"/>
                <w:highlight w:val="none"/>
                <w:lang w:val="zh-TW"/>
              </w:rPr>
            </w:pPr>
            <w:r>
              <w:rPr>
                <w:rFonts w:ascii="宋体" w:hAnsi="宋体" w:cs="宋体"/>
                <w:color w:val="auto"/>
                <w:szCs w:val="21"/>
                <w:highlight w:val="none"/>
                <w:lang w:val="zh-TW"/>
              </w:rPr>
              <w:t xml:space="preserve">F1 </w:t>
            </w:r>
            <w:r>
              <w:rPr>
                <w:rFonts w:hint="eastAsia" w:ascii="宋体" w:hAnsi="宋体" w:cs="宋体"/>
                <w:color w:val="auto"/>
                <w:szCs w:val="21"/>
                <w:highlight w:val="none"/>
                <w:lang w:val="zh-TW"/>
              </w:rPr>
              <w:t>磋商报价部分：10</w:t>
            </w:r>
            <w:r>
              <w:rPr>
                <w:rFonts w:ascii="宋体" w:hAnsi="宋体" w:cs="宋体"/>
                <w:color w:val="auto"/>
                <w:szCs w:val="21"/>
                <w:highlight w:val="none"/>
                <w:lang w:val="zh-TW"/>
              </w:rPr>
              <w:t>分；</w:t>
            </w:r>
          </w:p>
          <w:p>
            <w:pPr>
              <w:jc w:val="left"/>
              <w:rPr>
                <w:rFonts w:ascii="宋体" w:hAnsi="宋体" w:cs="宋体"/>
                <w:color w:val="auto"/>
                <w:szCs w:val="21"/>
                <w:highlight w:val="none"/>
                <w:lang w:val="zh-TW"/>
              </w:rPr>
            </w:pPr>
            <w:r>
              <w:rPr>
                <w:rFonts w:ascii="宋体" w:hAnsi="宋体" w:cs="宋体"/>
                <w:color w:val="auto"/>
                <w:szCs w:val="21"/>
                <w:highlight w:val="none"/>
                <w:lang w:val="zh-TW"/>
              </w:rPr>
              <w:t xml:space="preserve">F2 </w:t>
            </w:r>
            <w:r>
              <w:rPr>
                <w:rFonts w:hint="eastAsia" w:ascii="宋体" w:hAnsi="宋体" w:cs="宋体"/>
                <w:color w:val="auto"/>
                <w:szCs w:val="21"/>
                <w:highlight w:val="none"/>
                <w:lang w:val="zh-TW"/>
              </w:rPr>
              <w:t>技术商务部分</w:t>
            </w:r>
            <w:r>
              <w:rPr>
                <w:rFonts w:ascii="宋体" w:hAnsi="宋体" w:cs="宋体"/>
                <w:color w:val="auto"/>
                <w:szCs w:val="21"/>
                <w:highlight w:val="none"/>
                <w:lang w:val="zh-TW"/>
              </w:rPr>
              <w:t xml:space="preserve">: </w:t>
            </w:r>
            <w:r>
              <w:rPr>
                <w:rFonts w:hint="eastAsia" w:ascii="宋体" w:hAnsi="宋体" w:cs="宋体"/>
                <w:color w:val="auto"/>
                <w:szCs w:val="21"/>
                <w:highlight w:val="none"/>
                <w:lang w:val="zh-TW"/>
              </w:rPr>
              <w:t>90</w:t>
            </w:r>
            <w:r>
              <w:rPr>
                <w:rFonts w:ascii="宋体" w:hAnsi="宋体" w:cs="宋体"/>
                <w:color w:val="auto"/>
                <w:szCs w:val="21"/>
                <w:highlight w:val="none"/>
                <w:lang w:val="zh-TW"/>
              </w:rPr>
              <w:t>分。</w:t>
            </w:r>
          </w:p>
          <w:p>
            <w:pPr>
              <w:jc w:val="left"/>
              <w:rPr>
                <w:rFonts w:ascii="宋体" w:hAnsi="宋体" w:cs="宋体"/>
                <w:color w:val="auto"/>
                <w:szCs w:val="21"/>
                <w:highlight w:val="none"/>
              </w:rPr>
            </w:pPr>
            <w:r>
              <w:rPr>
                <w:rFonts w:hint="eastAsia" w:ascii="宋体" w:hAnsi="宋体" w:cs="宋体"/>
                <w:color w:val="auto"/>
                <w:szCs w:val="21"/>
                <w:highlight w:val="none"/>
                <w:lang w:val="zh-TW" w:eastAsia="zh-TW"/>
              </w:rPr>
              <w:t>供应商的评标总得分＝</w:t>
            </w:r>
            <w:r>
              <w:rPr>
                <w:rFonts w:ascii="宋体" w:hAnsi="宋体" w:cs="宋体"/>
                <w:color w:val="auto"/>
                <w:szCs w:val="21"/>
                <w:highlight w:val="none"/>
                <w:lang w:val="zh-TW" w:eastAsia="zh-TW"/>
              </w:rPr>
              <w:t>F1＋F2</w:t>
            </w:r>
          </w:p>
        </w:tc>
      </w:tr>
    </w:tbl>
    <w:p>
      <w:pPr>
        <w:rPr>
          <w:color w:val="auto"/>
          <w:highlight w:val="none"/>
        </w:rPr>
      </w:pPr>
    </w:p>
    <w:p>
      <w:pPr>
        <w:spacing w:line="360" w:lineRule="auto"/>
        <w:rPr>
          <w:color w:val="auto"/>
          <w:highlight w:val="none"/>
        </w:rPr>
      </w:pPr>
      <w:r>
        <w:rPr>
          <w:color w:val="auto"/>
          <w:highlight w:val="none"/>
        </w:rPr>
        <w:br w:type="page"/>
      </w:r>
    </w:p>
    <w:tbl>
      <w:tblPr>
        <w:tblStyle w:val="59"/>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14"/>
        <w:gridCol w:w="1489"/>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1" w:type="dxa"/>
            <w:shd w:val="clear" w:color="auto" w:fill="auto"/>
            <w:vAlign w:val="center"/>
          </w:tcPr>
          <w:p>
            <w:pPr>
              <w:widowControl/>
              <w:jc w:val="center"/>
              <w:rPr>
                <w:rFonts w:cs="宋体" w:asciiTheme="minorEastAsia" w:hAnsiTheme="minorEastAsia" w:eastAsiaTheme="minorEastAsia"/>
                <w:color w:val="auto"/>
                <w:szCs w:val="21"/>
                <w:highlight w:val="none"/>
              </w:rPr>
            </w:pPr>
            <w:bookmarkStart w:id="210" w:name="_Toc347849269"/>
            <w:bookmarkStart w:id="211" w:name="_Toc383175531"/>
            <w:bookmarkStart w:id="212" w:name="_Toc378499750"/>
            <w:bookmarkStart w:id="213" w:name="_Toc86124094"/>
            <w:r>
              <w:rPr>
                <w:rFonts w:cs="宋体" w:asciiTheme="minorEastAsia" w:hAnsiTheme="minorEastAsia" w:eastAsiaTheme="minorEastAsia"/>
                <w:color w:val="auto"/>
                <w:szCs w:val="21"/>
                <w:highlight w:val="none"/>
              </w:rPr>
              <w:br w:type="page"/>
            </w:r>
            <w:r>
              <w:rPr>
                <w:rFonts w:hint="eastAsia" w:cs="宋体" w:asciiTheme="minorEastAsia" w:hAnsiTheme="minorEastAsia" w:eastAsiaTheme="minorEastAsia"/>
                <w:color w:val="auto"/>
                <w:szCs w:val="21"/>
                <w:highlight w:val="none"/>
              </w:rPr>
              <w:t>评分因素</w:t>
            </w:r>
          </w:p>
        </w:tc>
        <w:tc>
          <w:tcPr>
            <w:tcW w:w="714" w:type="dxa"/>
            <w:shd w:val="clear" w:color="auto" w:fill="auto"/>
            <w:vAlign w:val="center"/>
          </w:tcPr>
          <w:p>
            <w:pPr>
              <w:widowControl/>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分值</w:t>
            </w:r>
          </w:p>
        </w:tc>
        <w:tc>
          <w:tcPr>
            <w:tcW w:w="1489" w:type="dxa"/>
            <w:vAlign w:val="center"/>
          </w:tcPr>
          <w:p>
            <w:pPr>
              <w:widowControl/>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评分项目</w:t>
            </w:r>
          </w:p>
        </w:tc>
        <w:tc>
          <w:tcPr>
            <w:tcW w:w="6131" w:type="dxa"/>
            <w:shd w:val="clear" w:color="auto" w:fill="auto"/>
            <w:vAlign w:val="center"/>
          </w:tcPr>
          <w:p>
            <w:pPr>
              <w:widowControl/>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1" w:type="dxa"/>
            <w:shd w:val="clear" w:color="auto" w:fill="auto"/>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F1</w:t>
            </w:r>
          </w:p>
          <w:p>
            <w:pPr>
              <w:widowControl/>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磋商报价</w:t>
            </w:r>
          </w:p>
        </w:tc>
        <w:tc>
          <w:tcPr>
            <w:tcW w:w="714" w:type="dxa"/>
            <w:shd w:val="clear" w:color="auto" w:fill="auto"/>
            <w:vAlign w:val="center"/>
          </w:tcPr>
          <w:p>
            <w:pPr>
              <w:widowControl/>
              <w:spacing w:line="360" w:lineRule="exact"/>
              <w:jc w:val="center"/>
              <w:rPr>
                <w:rFonts w:cs="宋体" w:asciiTheme="minorEastAsia" w:hAnsiTheme="minorEastAsia" w:eastAsiaTheme="minorEastAsia"/>
                <w:color w:val="auto"/>
                <w:szCs w:val="21"/>
                <w:highlight w:val="none"/>
                <w:lang w:val="zh-TW"/>
              </w:rPr>
            </w:pPr>
            <w:r>
              <w:rPr>
                <w:rFonts w:hint="eastAsia" w:cs="宋体" w:asciiTheme="minorEastAsia" w:hAnsiTheme="minorEastAsia" w:eastAsiaTheme="minorEastAsia"/>
                <w:color w:val="auto"/>
                <w:szCs w:val="21"/>
                <w:highlight w:val="none"/>
                <w:lang w:val="zh-TW"/>
              </w:rPr>
              <w:t>10</w:t>
            </w: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（满分10分</w:t>
            </w:r>
            <w:r>
              <w:rPr>
                <w:rFonts w:asciiTheme="minorEastAsia" w:hAnsiTheme="minorEastAsia" w:eastAsiaTheme="minorEastAsia"/>
                <w:color w:val="auto"/>
                <w:szCs w:val="21"/>
                <w:highlight w:val="none"/>
              </w:rPr>
              <w:t>）</w:t>
            </w:r>
          </w:p>
        </w:tc>
        <w:tc>
          <w:tcPr>
            <w:tcW w:w="6131" w:type="dxa"/>
            <w:shd w:val="clear" w:color="auto" w:fill="auto"/>
            <w:vAlign w:val="center"/>
          </w:tcPr>
          <w:p>
            <w:pPr>
              <w:adjustRightInd w:val="0"/>
              <w:snapToGrid w:val="0"/>
              <w:spacing w:line="3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iCs/>
                <w:color w:val="auto"/>
                <w:szCs w:val="21"/>
                <w:highlight w:val="none"/>
              </w:rPr>
              <w:t>以有效供应商最终磋商总报价的平均价（</w:t>
            </w:r>
            <w:r>
              <w:rPr>
                <w:rFonts w:hint="eastAsia" w:asciiTheme="minorEastAsia" w:hAnsiTheme="minorEastAsia" w:eastAsiaTheme="minorEastAsia"/>
                <w:bCs/>
                <w:iCs/>
                <w:color w:val="auto"/>
                <w:szCs w:val="21"/>
                <w:highlight w:val="none"/>
              </w:rPr>
              <w:t>如有效报价在五个及以上，去一个最高最终磋商总报价及一个最低最高最终磋商总报价后的平均价</w:t>
            </w:r>
            <w:r>
              <w:rPr>
                <w:rFonts w:hint="eastAsia" w:asciiTheme="minorEastAsia" w:hAnsiTheme="minorEastAsia" w:eastAsiaTheme="minorEastAsia"/>
                <w:iCs/>
                <w:color w:val="auto"/>
                <w:szCs w:val="21"/>
                <w:highlight w:val="none"/>
              </w:rPr>
              <w:t>）为评标基准价。供应商的最终磋商总报价等于评标基准价的得满分；</w:t>
            </w:r>
            <w:r>
              <w:rPr>
                <w:rFonts w:hint="eastAsia" w:asciiTheme="minorEastAsia" w:hAnsiTheme="minorEastAsia" w:eastAsiaTheme="minorEastAsia"/>
                <w:bCs/>
                <w:iCs/>
                <w:color w:val="auto"/>
                <w:szCs w:val="21"/>
                <w:highlight w:val="none"/>
              </w:rPr>
              <w:t>该磋商总报价与评标指标价相比每向上浮动1％扣1分，每向下浮动1％扣1分，</w:t>
            </w:r>
            <w:r>
              <w:rPr>
                <w:rFonts w:hint="eastAsia" w:asciiTheme="minorEastAsia" w:hAnsiTheme="minorEastAsia" w:eastAsiaTheme="minorEastAsia"/>
                <w:iCs/>
                <w:color w:val="auto"/>
                <w:szCs w:val="21"/>
                <w:highlight w:val="none"/>
              </w:rPr>
              <w:t>最多扣10分，小数点后保留两位（中间值采用插入法进行计算）。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1" w:type="dxa"/>
            <w:vMerge w:val="restart"/>
            <w:shd w:val="clear" w:color="auto" w:fill="auto"/>
            <w:vAlign w:val="center"/>
          </w:tcPr>
          <w:p>
            <w:pPr>
              <w:widowControl/>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F2</w:t>
            </w:r>
          </w:p>
          <w:p>
            <w:pPr>
              <w:widowControl/>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技术商务部分</w:t>
            </w:r>
          </w:p>
        </w:tc>
        <w:tc>
          <w:tcPr>
            <w:tcW w:w="714" w:type="dxa"/>
            <w:vMerge w:val="restart"/>
            <w:shd w:val="clear" w:color="auto" w:fill="auto"/>
            <w:vAlign w:val="center"/>
          </w:tcPr>
          <w:p>
            <w:pPr>
              <w:widowControl/>
              <w:spacing w:line="360" w:lineRule="exact"/>
              <w:jc w:val="center"/>
              <w:rPr>
                <w:rFonts w:cs="宋体" w:asciiTheme="minorEastAsia" w:hAnsiTheme="minorEastAsia" w:eastAsiaTheme="minorEastAsia"/>
                <w:color w:val="auto"/>
                <w:szCs w:val="21"/>
                <w:highlight w:val="none"/>
                <w:lang w:val="zh-TW"/>
              </w:rPr>
            </w:pPr>
            <w:r>
              <w:rPr>
                <w:rFonts w:hint="eastAsia" w:cs="宋体" w:asciiTheme="minorEastAsia" w:hAnsiTheme="minorEastAsia" w:eastAsiaTheme="minorEastAsia"/>
                <w:color w:val="auto"/>
                <w:szCs w:val="21"/>
                <w:highlight w:val="none"/>
                <w:lang w:val="zh-TW"/>
              </w:rPr>
              <w:t>90</w:t>
            </w: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物业管理与服务方案</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（满分3</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分）</w:t>
            </w:r>
          </w:p>
        </w:tc>
        <w:tc>
          <w:tcPr>
            <w:tcW w:w="6131" w:type="dxa"/>
            <w:shd w:val="clear" w:color="auto" w:fill="auto"/>
            <w:vAlign w:val="center"/>
          </w:tcPr>
          <w:p>
            <w:pPr>
              <w:spacing w:line="3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磋商小组对所有供应商提供的物业管理与服务方案内容进行评审：</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（1）物业管理与服务工作方案内容完善具体、合理可行，对云南省国有金融资本控股集团有限公司办公区</w:t>
            </w:r>
            <w:r>
              <w:rPr>
                <w:rFonts w:hint="eastAsia" w:asciiTheme="minorEastAsia" w:hAnsiTheme="minorEastAsia" w:eastAsiaTheme="minorEastAsia"/>
                <w:b/>
                <w:color w:val="auto"/>
                <w:szCs w:val="21"/>
                <w:highlight w:val="none"/>
              </w:rPr>
              <w:t>现状了解</w:t>
            </w:r>
            <w:r>
              <w:rPr>
                <w:rFonts w:hint="eastAsia" w:asciiTheme="minorEastAsia" w:hAnsiTheme="minorEastAsia" w:eastAsiaTheme="minorEastAsia"/>
                <w:color w:val="auto"/>
                <w:szCs w:val="21"/>
                <w:highlight w:val="none"/>
              </w:rPr>
              <w:t>，有对应可行的管理办法、工作技术方案实施细则、保障措施等，且针对性强的，得2</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（2）物业管理与服务工作方案内容基本完善，合理可行性一般，对云南省国有金融资本控股集团有限公司办公区</w:t>
            </w:r>
            <w:r>
              <w:rPr>
                <w:rFonts w:hint="eastAsia" w:asciiTheme="minorEastAsia" w:hAnsiTheme="minorEastAsia" w:eastAsiaTheme="minorEastAsia"/>
                <w:b/>
                <w:color w:val="auto"/>
                <w:szCs w:val="21"/>
                <w:highlight w:val="none"/>
              </w:rPr>
              <w:t>现状了解程度一般</w:t>
            </w:r>
            <w:r>
              <w:rPr>
                <w:rFonts w:hint="eastAsia" w:asciiTheme="minorEastAsia" w:hAnsiTheme="minorEastAsia" w:eastAsiaTheme="minorEastAsia"/>
                <w:color w:val="auto"/>
                <w:szCs w:val="21"/>
                <w:highlight w:val="none"/>
              </w:rPr>
              <w:t>，提供的管理办法、工作技术方案实施细则、保障措施等基本可行，针对性一般的，得1</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28</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（3）管理服务工作方案内容不完善，合理性不足，对云南省国有金融资本控股集团有限公司办公区</w:t>
            </w:r>
            <w:r>
              <w:rPr>
                <w:rFonts w:hint="eastAsia" w:asciiTheme="minorEastAsia" w:hAnsiTheme="minorEastAsia" w:eastAsiaTheme="minorEastAsia"/>
                <w:b/>
                <w:color w:val="auto"/>
                <w:szCs w:val="21"/>
                <w:highlight w:val="none"/>
              </w:rPr>
              <w:t>现状不了解</w:t>
            </w:r>
            <w:r>
              <w:rPr>
                <w:rFonts w:hint="eastAsia" w:asciiTheme="minorEastAsia" w:hAnsiTheme="minorEastAsia" w:eastAsiaTheme="minorEastAsia"/>
                <w:color w:val="auto"/>
                <w:szCs w:val="21"/>
                <w:highlight w:val="none"/>
              </w:rPr>
              <w:t>，管理办法、工作技术方案实施细则、保障措施等内容有欠缺，缺乏针对性的，得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（4）管理服务工作方案内容简单粗糙，不全面，无保障措施，对云南省国有金融资本控股集团有限公司办公区</w:t>
            </w:r>
            <w:r>
              <w:rPr>
                <w:rFonts w:hint="eastAsia" w:asciiTheme="minorEastAsia" w:hAnsiTheme="minorEastAsia" w:eastAsiaTheme="minorEastAsia"/>
                <w:b/>
                <w:color w:val="auto"/>
                <w:szCs w:val="21"/>
                <w:highlight w:val="none"/>
              </w:rPr>
              <w:t>现状不了解</w:t>
            </w:r>
            <w:r>
              <w:rPr>
                <w:rFonts w:hint="eastAsia" w:asciiTheme="minorEastAsia" w:hAnsiTheme="minorEastAsia" w:eastAsiaTheme="minorEastAsia"/>
                <w:color w:val="auto"/>
                <w:szCs w:val="21"/>
                <w:highlight w:val="none"/>
              </w:rPr>
              <w:t>的，得1-</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（5）无服务方案描述的该项得0分。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hint="eastAsia" w:cs="宋体" w:asciiTheme="minorEastAsia" w:hAnsiTheme="minorEastAsia" w:eastAsiaTheme="minorEastAsia"/>
                <w:color w:val="auto"/>
                <w:szCs w:val="21"/>
                <w:highlight w:val="none"/>
                <w:lang w:val="zh-TW"/>
              </w:rPr>
            </w:pPr>
          </w:p>
        </w:tc>
        <w:tc>
          <w:tcPr>
            <w:tcW w:w="1489" w:type="dxa"/>
            <w:vAlign w:val="center"/>
          </w:tcPr>
          <w:p>
            <w:pPr>
              <w:pBdr>
                <w:top w:val="none" w:color="auto" w:sz="0" w:space="1"/>
                <w:left w:val="none" w:color="auto" w:sz="0" w:space="4"/>
                <w:right w:val="none" w:color="auto" w:sz="0" w:space="4"/>
              </w:pBd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维修、养护管理与措施</w:t>
            </w:r>
          </w:p>
          <w:p>
            <w:pPr>
              <w:pBdr>
                <w:top w:val="none" w:color="auto" w:sz="0" w:space="1"/>
                <w:left w:val="none" w:color="auto" w:sz="0" w:space="4"/>
                <w:right w:val="none" w:color="auto" w:sz="0" w:space="4"/>
              </w:pBd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tc>
        <w:tc>
          <w:tcPr>
            <w:tcW w:w="6131" w:type="dxa"/>
            <w:shd w:val="clear" w:color="auto" w:fill="auto"/>
            <w:vAlign w:val="center"/>
          </w:tcPr>
          <w:p>
            <w:pPr>
              <w:spacing w:line="3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磋商小组对所有供应商提供的维修、养护管理与措施内容进行评审：</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（1）维修、养护管理工作方案内容完善具体，合理性及针对性强，措施有力合理的得6～</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（2）维修、养护管理工作方案内容基本完善，合理性及针对性一般，措施基本合理的得</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～5分；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（3）维修、养护管理工作方案内容不完善，合理性及针对性不足，措施欠缺的得1～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（4）未作任何说明的不得分。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hint="eastAsia" w:cs="宋体" w:asciiTheme="minorEastAsia" w:hAnsiTheme="minorEastAsia" w:eastAsiaTheme="minorEastAsia"/>
                <w:color w:val="auto"/>
                <w:szCs w:val="21"/>
                <w:highlight w:val="none"/>
                <w:lang w:val="zh-TW"/>
              </w:rPr>
            </w:pP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突发事件应急处理及安全保障措施</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tc>
        <w:tc>
          <w:tcPr>
            <w:tcW w:w="6131" w:type="dxa"/>
            <w:shd w:val="clear" w:color="auto" w:fill="auto"/>
            <w:vAlign w:val="center"/>
          </w:tcPr>
          <w:p>
            <w:pPr>
              <w:spacing w:line="300" w:lineRule="exact"/>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磋商小组对所有供应商提供的突发事件应急处理及安全保障措施内容进行评审：</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（1）突发事件应急处理方案及安全保障措施内容完整、齐全、针对性、可操作性，能够有效应对突发事故的得</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（2）突发事件应急处理方案及安全保障措施内容基本完整、针对性一般的得</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～5分；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（3）突发事件应急处理方案及安全保障措施内容完整性、针对性不足的得1～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（4）未作任何说明的不得分。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hint="eastAsia" w:cs="宋体" w:asciiTheme="minorEastAsia" w:hAnsiTheme="minorEastAsia" w:eastAsiaTheme="minorEastAsia"/>
                <w:color w:val="auto"/>
                <w:szCs w:val="21"/>
                <w:highlight w:val="none"/>
                <w:lang w:val="zh-TW"/>
              </w:rPr>
            </w:pP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服务承诺、服务质量、服务期保证措施</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（满分10分）</w:t>
            </w:r>
          </w:p>
        </w:tc>
        <w:tc>
          <w:tcPr>
            <w:tcW w:w="6131" w:type="dxa"/>
            <w:shd w:val="clear" w:color="auto" w:fill="auto"/>
            <w:vAlign w:val="center"/>
          </w:tcPr>
          <w:p>
            <w:pPr>
              <w:spacing w:line="300" w:lineRule="exact"/>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磋商小组对所有供应商提供的服务承诺、服务质量、服务期保证措施（包含服务人员稳定保障措施、人员福利保障措施）内容进行详细的横向比较评审：</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（1）服务承诺具体，合理性、针对性强，可行性高，违约责任承诺具体，服务人员稳定性保障措施合理可行，且服务人员福利保障措施全面、具体，有完整、健全的考核办法的，得7～10分；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（2）服务承诺具体，合理一般、针对性一般，可行性一般，违约责任承诺具体，服务人员稳定性保障措施基本合理，服务人员福利保障措施基本全面，有考核办法的，得4～6分；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（3）服务承诺合理性较差、针对性不足，无考核办法或无服务人员稳定性保障措施或服务人员福利保障措施不全的，得1～3分；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（4）未作任何说明的不得分。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cs="宋体" w:asciiTheme="minorEastAsia" w:hAnsiTheme="minorEastAsia" w:eastAsiaTheme="minorEastAsia"/>
                <w:color w:val="auto"/>
                <w:szCs w:val="21"/>
                <w:highlight w:val="none"/>
                <w:lang w:val="zh-TW"/>
              </w:rPr>
            </w:pP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同类业绩</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（满分5分）</w:t>
            </w:r>
          </w:p>
        </w:tc>
        <w:tc>
          <w:tcPr>
            <w:tcW w:w="6131" w:type="dxa"/>
            <w:shd w:val="clear" w:color="auto" w:fill="auto"/>
            <w:vAlign w:val="center"/>
          </w:tcPr>
          <w:p>
            <w:pPr>
              <w:spacing w:line="3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根据供应商提供的近三年（201</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年至今）同等规模（或以上）的类似办公区物业服务业绩进行赋分：</w:t>
            </w:r>
          </w:p>
          <w:p>
            <w:pPr>
              <w:spacing w:line="3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每提供一项上述业绩得1分，最高不超过5分。</w:t>
            </w:r>
          </w:p>
          <w:p>
            <w:pPr>
              <w:spacing w:line="3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类似业绩须附业绩证明材料：中标通知书或合同或业主证明等，业绩证明材料复印件放响应文件中，未提供业绩证明材料或业绩证明材料内容不明导致磋商小组无法评审时，则不予赋分。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cs="宋体" w:asciiTheme="minorEastAsia" w:hAnsiTheme="minorEastAsia" w:eastAsiaTheme="minorEastAsia"/>
                <w:color w:val="auto"/>
                <w:szCs w:val="21"/>
                <w:highlight w:val="none"/>
                <w:lang w:val="zh-TW"/>
              </w:rPr>
            </w:pP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培训计划、物资配备情况</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tc>
        <w:tc>
          <w:tcPr>
            <w:tcW w:w="6131" w:type="dxa"/>
            <w:shd w:val="clear" w:color="auto" w:fill="auto"/>
            <w:vAlign w:val="center"/>
          </w:tcPr>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（1）培训计划、物资配备满足磋商文件要求，培训计划合理，满足项目实际需要，物资配备齐全，得</w:t>
            </w:r>
            <w:r>
              <w:rPr>
                <w:rFonts w:hint="eastAsia" w:asciiTheme="minorEastAsia" w:hAnsiTheme="minorEastAsia" w:eastAsiaTheme="minorEastAsia"/>
                <w:color w:val="auto"/>
                <w:szCs w:val="21"/>
                <w:highlight w:val="none"/>
                <w:lang w:val="en-US" w:eastAsia="zh-CN"/>
              </w:rPr>
              <w:t>6-7</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（2）培训计划、物资配备满足磋商文件要求，培训计划基本合理，基本满足项目实际需要，物资配备基本齐全，得</w:t>
            </w:r>
            <w:r>
              <w:rPr>
                <w:rFonts w:hint="eastAsia" w:asciiTheme="minorEastAsia" w:hAnsiTheme="minorEastAsia" w:eastAsiaTheme="minorEastAsia"/>
                <w:color w:val="auto"/>
                <w:szCs w:val="21"/>
                <w:highlight w:val="none"/>
                <w:lang w:val="en-US" w:eastAsia="zh-CN"/>
              </w:rPr>
              <w:t>3-5</w:t>
            </w:r>
            <w:r>
              <w:rPr>
                <w:rFonts w:hint="eastAsia" w:asciiTheme="minorEastAsia" w:hAnsiTheme="minorEastAsia" w:eastAsiaTheme="minorEastAsia"/>
                <w:color w:val="auto"/>
                <w:szCs w:val="21"/>
                <w:highlight w:val="none"/>
              </w:rPr>
              <w:t>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（3）培训计划、物资配备满足磋商文件要求，但培训计划不合理，缺乏针对性，物资配备不齐全，得0-</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cs="宋体" w:asciiTheme="minorEastAsia" w:hAnsiTheme="minorEastAsia" w:eastAsiaTheme="minorEastAsia"/>
                <w:color w:val="auto"/>
                <w:szCs w:val="21"/>
                <w:highlight w:val="none"/>
                <w:lang w:val="zh-TW"/>
              </w:rPr>
            </w:pP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人员配备情况评审</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c>
          <w:tcPr>
            <w:tcW w:w="6131" w:type="dxa"/>
            <w:shd w:val="clear" w:color="auto" w:fill="auto"/>
            <w:vAlign w:val="center"/>
          </w:tcPr>
          <w:p>
            <w:pPr>
              <w:spacing w:line="300" w:lineRule="exact"/>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拟派人员配置满足磋商文件要求，配置合理，岗位职责明确，服务人员有经验的，得基本分2分（人员不满足磋商文件要求的，该项评审不得分）；拟派人员满足下述情况，在基本分基础上进行加分：</w:t>
            </w:r>
          </w:p>
          <w:p>
            <w:pPr>
              <w:spacing w:line="300" w:lineRule="exact"/>
              <w:ind w:firstLine="525"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拟派人员中具有物业管理方面涉及证书：电工证、高空作业证、物业管理人员上岗证、电梯操作证、保安证、智能楼宇管理员证、建筑物消防初级员证、建筑物消防中级员证，每提供一个证书的加0.5分，同一类型证书加分不超过2分，共计加分不超过</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p>
            <w:pPr>
              <w:spacing w:line="300" w:lineRule="exact"/>
              <w:ind w:firstLine="525"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2、拟派人员中有具备项目经理证的每提供一个加0.5分，最多加2分。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注：该项评审以提供的证明材料为准：拟派人员相关证书、劳动合同及社保缴纳证明，如证明材料提供不全，则不予赋分。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1" w:type="dxa"/>
            <w:vMerge w:val="continue"/>
            <w:shd w:val="clear" w:color="auto" w:fill="auto"/>
            <w:vAlign w:val="center"/>
          </w:tcPr>
          <w:p>
            <w:pPr>
              <w:widowControl/>
              <w:jc w:val="center"/>
              <w:rPr>
                <w:rFonts w:cs="宋体" w:asciiTheme="minorEastAsia" w:hAnsiTheme="minorEastAsia" w:eastAsiaTheme="minorEastAsia"/>
                <w:color w:val="auto"/>
                <w:szCs w:val="21"/>
                <w:highlight w:val="none"/>
              </w:rPr>
            </w:pPr>
          </w:p>
        </w:tc>
        <w:tc>
          <w:tcPr>
            <w:tcW w:w="714" w:type="dxa"/>
            <w:vMerge w:val="continue"/>
            <w:shd w:val="clear" w:color="auto" w:fill="auto"/>
            <w:vAlign w:val="center"/>
          </w:tcPr>
          <w:p>
            <w:pPr>
              <w:widowControl/>
              <w:spacing w:line="360" w:lineRule="exact"/>
              <w:jc w:val="center"/>
              <w:rPr>
                <w:rFonts w:cs="宋体" w:asciiTheme="minorEastAsia" w:hAnsiTheme="minorEastAsia" w:eastAsiaTheme="minorEastAsia"/>
                <w:color w:val="auto"/>
                <w:szCs w:val="21"/>
                <w:highlight w:val="none"/>
                <w:lang w:val="zh-TW"/>
              </w:rPr>
            </w:pPr>
          </w:p>
        </w:tc>
        <w:tc>
          <w:tcPr>
            <w:tcW w:w="1489"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企业综合实力</w:t>
            </w:r>
          </w:p>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（满分9分）</w:t>
            </w:r>
          </w:p>
        </w:tc>
        <w:tc>
          <w:tcPr>
            <w:tcW w:w="6131" w:type="dxa"/>
            <w:shd w:val="clear" w:color="auto" w:fill="auto"/>
            <w:vAlign w:val="center"/>
          </w:tcPr>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（1）企业自身管理的组织架构、综合实力优；管理体系完善，具有质量管理体系认证、环境管理体系认证及劳务派遣经营许可证；企业信誉好，获得过省级以上（含省级）荣誉的，得8-9分；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（2）企业自身管理的组织架构、综合实力好，管理体系基本完善，具有质量管理体系认证及环境管理体系认证；信誉良好，获得过市级荣誉的，得6-7分；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（3）企业自身管理的组织架构、综合实力一般，管理体系完善程度一般，具有质量管理体系认证；信誉状况一般，获得过县区级荣誉的，得3-5分；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（4）企业自身管理的组织架构、综合实力差，管理体系不完善，信誉一般的，得0-2分。</w:t>
            </w:r>
          </w:p>
          <w:p>
            <w:pPr>
              <w:spacing w:line="3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注：上述评审以供应商提供的证明材料为准，如证明材料提供不全，则不予赋分。</w:t>
            </w:r>
          </w:p>
        </w:tc>
      </w:tr>
    </w:tbl>
    <w:p>
      <w:pPr>
        <w:widowControl/>
        <w:jc w:val="left"/>
        <w:rPr>
          <w:b/>
          <w:bCs/>
          <w:color w:val="auto"/>
          <w:kern w:val="0"/>
          <w:sz w:val="32"/>
          <w:szCs w:val="28"/>
          <w:highlight w:val="none"/>
        </w:rPr>
      </w:pPr>
      <w:r>
        <w:rPr>
          <w:b/>
          <w:bCs/>
          <w:color w:val="auto"/>
          <w:kern w:val="0"/>
          <w:sz w:val="32"/>
          <w:szCs w:val="28"/>
          <w:highlight w:val="none"/>
        </w:rPr>
        <w:br w:type="page"/>
      </w:r>
      <w:r>
        <w:rPr>
          <w:rFonts w:hint="eastAsia"/>
          <w:b/>
          <w:bCs/>
          <w:color w:val="auto"/>
          <w:kern w:val="0"/>
          <w:sz w:val="32"/>
          <w:szCs w:val="28"/>
          <w:highlight w:val="none"/>
        </w:rPr>
        <w:t>一、磋商方法</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综合评分法。磋商小组将根据评审办法计算出各供应商的综合得分，按得分由高到低推荐成交候选人排序；得分相同的，按最终报价由低到高顺序排列；得分且最终报价相同的，按方案部分得分高低顺序排列。最终磋商小组将根据评审后的总得分由高到低顺序排列推荐</w:t>
      </w:r>
      <w:r>
        <w:rPr>
          <w:rFonts w:ascii="宋体" w:hAnsi="宋体"/>
          <w:color w:val="auto"/>
          <w:kern w:val="0"/>
          <w:szCs w:val="21"/>
          <w:highlight w:val="none"/>
        </w:rPr>
        <w:t>3个成交候选人。</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磋商时，除价格得分外，磋商小组各成员将独立对每个有效供应商的响应文件进行评价、打分，然后将每个供应商各项评分因素的得分汇总后计算磋商小组各成员独立评分的算术平均值（保留</w:t>
      </w:r>
      <w:r>
        <w:rPr>
          <w:rFonts w:ascii="宋体" w:hAnsi="宋体"/>
          <w:color w:val="auto"/>
          <w:kern w:val="0"/>
          <w:szCs w:val="21"/>
          <w:highlight w:val="none"/>
        </w:rPr>
        <w:t>2位小数），得出每个供应商的最终得分。</w:t>
      </w:r>
    </w:p>
    <w:p>
      <w:pPr>
        <w:keepNext/>
        <w:keepLines/>
        <w:spacing w:after="120" w:line="360" w:lineRule="auto"/>
        <w:outlineLvl w:val="1"/>
        <w:rPr>
          <w:b/>
          <w:bCs/>
          <w:color w:val="auto"/>
          <w:kern w:val="0"/>
          <w:sz w:val="32"/>
          <w:szCs w:val="28"/>
          <w:highlight w:val="none"/>
          <w:lang w:val="zh-CN"/>
        </w:rPr>
      </w:pPr>
      <w:r>
        <w:rPr>
          <w:rFonts w:hint="eastAsia"/>
          <w:b/>
          <w:bCs/>
          <w:color w:val="auto"/>
          <w:kern w:val="0"/>
          <w:sz w:val="32"/>
          <w:szCs w:val="28"/>
          <w:highlight w:val="none"/>
          <w:lang w:val="zh-CN"/>
        </w:rPr>
        <w:t>二、磋商标准</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2.1实质性要求审查标准</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实质性审查标准：依据法律法规和磋商文件的规定，对响应文件中的资格证明、服务要求等实质性要求审查标准进行审查，见</w:t>
      </w:r>
      <w:r>
        <w:rPr>
          <w:rFonts w:ascii="宋体" w:hAnsi="宋体"/>
          <w:color w:val="auto"/>
          <w:kern w:val="0"/>
          <w:szCs w:val="21"/>
          <w:highlight w:val="none"/>
        </w:rPr>
        <w:t>“</w:t>
      </w:r>
      <w:r>
        <w:rPr>
          <w:rFonts w:hint="eastAsia" w:ascii="宋体" w:hAnsi="宋体"/>
          <w:color w:val="auto"/>
          <w:kern w:val="0"/>
          <w:szCs w:val="21"/>
          <w:highlight w:val="none"/>
        </w:rPr>
        <w:t>磋商程序和方法前附表</w:t>
      </w:r>
      <w:r>
        <w:rPr>
          <w:rFonts w:ascii="宋体" w:hAnsi="宋体"/>
          <w:color w:val="auto"/>
          <w:kern w:val="0"/>
          <w:szCs w:val="21"/>
          <w:highlight w:val="none"/>
        </w:rPr>
        <w:t>”</w:t>
      </w:r>
      <w:r>
        <w:rPr>
          <w:rFonts w:hint="eastAsia" w:ascii="宋体" w:hAnsi="宋体"/>
          <w:color w:val="auto"/>
          <w:kern w:val="0"/>
          <w:szCs w:val="21"/>
          <w:highlight w:val="none"/>
        </w:rPr>
        <w:t>。</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 xml:space="preserve">2.2 </w:t>
      </w:r>
      <w:r>
        <w:rPr>
          <w:rFonts w:hint="eastAsia" w:ascii="宋体" w:hAnsi="宋体"/>
          <w:color w:val="auto"/>
          <w:kern w:val="0"/>
          <w:szCs w:val="21"/>
          <w:highlight w:val="none"/>
        </w:rPr>
        <w:t>磋商标准</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2.2.1供应商只有通过实质性评审才能进入第二轮报价及详细评审。</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2.2.2第二轮磋商报价为供应商的最终报价。若供应商最终报价超过预算价（控制价），按无效响应文件处理。</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2.2.3磋商小组对各供应商的响应文件进行详细评审。磋商小组按照得分的高低推荐成交候选人，推荐成交候选人3人，并标明排列顺序。</w:t>
      </w:r>
    </w:p>
    <w:bookmarkEnd w:id="210"/>
    <w:bookmarkEnd w:id="211"/>
    <w:bookmarkEnd w:id="212"/>
    <w:bookmarkEnd w:id="213"/>
    <w:p>
      <w:pPr>
        <w:keepNext/>
        <w:keepLines/>
        <w:spacing w:after="120" w:line="360" w:lineRule="auto"/>
        <w:outlineLvl w:val="1"/>
        <w:rPr>
          <w:b/>
          <w:bCs/>
          <w:color w:val="auto"/>
          <w:kern w:val="0"/>
          <w:sz w:val="32"/>
          <w:szCs w:val="28"/>
          <w:highlight w:val="none"/>
          <w:lang w:val="zh-CN"/>
        </w:rPr>
      </w:pPr>
      <w:bookmarkStart w:id="214" w:name="_Toc378499754"/>
      <w:bookmarkStart w:id="215" w:name="_Toc191374451"/>
      <w:bookmarkStart w:id="216" w:name="_Toc383175535"/>
      <w:bookmarkStart w:id="217" w:name="_Toc347849273"/>
      <w:bookmarkStart w:id="218" w:name="_Toc86124098"/>
      <w:r>
        <w:rPr>
          <w:rFonts w:hint="eastAsia"/>
          <w:b/>
          <w:bCs/>
          <w:color w:val="auto"/>
          <w:kern w:val="0"/>
          <w:sz w:val="32"/>
          <w:szCs w:val="28"/>
          <w:highlight w:val="none"/>
          <w:lang w:val="zh-CN"/>
        </w:rPr>
        <w:t>三、磋商程序</w:t>
      </w:r>
      <w:bookmarkEnd w:id="214"/>
      <w:bookmarkEnd w:id="215"/>
      <w:bookmarkEnd w:id="216"/>
      <w:bookmarkEnd w:id="217"/>
      <w:bookmarkEnd w:id="218"/>
    </w:p>
    <w:p>
      <w:pPr>
        <w:keepNext/>
        <w:keepLines/>
        <w:tabs>
          <w:tab w:val="left" w:pos="900"/>
        </w:tabs>
        <w:spacing w:after="120" w:line="360" w:lineRule="auto"/>
        <w:jc w:val="left"/>
        <w:outlineLvl w:val="2"/>
        <w:rPr>
          <w:b/>
          <w:bCs/>
          <w:color w:val="auto"/>
          <w:kern w:val="0"/>
          <w:sz w:val="32"/>
          <w:highlight w:val="none"/>
          <w:lang w:val="zh-CN"/>
        </w:rPr>
      </w:pPr>
      <w:bookmarkStart w:id="219" w:name="_Toc378499755"/>
      <w:bookmarkStart w:id="220" w:name="_Toc191374452"/>
      <w:bookmarkStart w:id="221" w:name="_Toc48271432"/>
      <w:bookmarkStart w:id="222" w:name="_Toc86124099"/>
      <w:bookmarkStart w:id="223" w:name="_Toc329810240"/>
      <w:bookmarkStart w:id="224" w:name="_Toc347849274"/>
      <w:bookmarkStart w:id="225" w:name="_Toc383175536"/>
      <w:r>
        <w:rPr>
          <w:b/>
          <w:bCs/>
          <w:color w:val="auto"/>
          <w:kern w:val="0"/>
          <w:sz w:val="32"/>
          <w:highlight w:val="none"/>
          <w:lang w:val="zh-CN"/>
        </w:rPr>
        <w:t xml:space="preserve">3.1 </w:t>
      </w:r>
      <w:bookmarkEnd w:id="219"/>
      <w:bookmarkEnd w:id="220"/>
      <w:bookmarkEnd w:id="221"/>
      <w:bookmarkEnd w:id="222"/>
      <w:bookmarkEnd w:id="223"/>
      <w:bookmarkEnd w:id="224"/>
      <w:r>
        <w:rPr>
          <w:rFonts w:hint="eastAsia" w:ascii="宋体" w:hAnsi="宋体"/>
          <w:b/>
          <w:bCs/>
          <w:color w:val="auto"/>
          <w:kern w:val="0"/>
          <w:sz w:val="32"/>
          <w:szCs w:val="21"/>
          <w:highlight w:val="none"/>
          <w:lang w:val="zh-CN"/>
        </w:rPr>
        <w:t>实质性要求</w:t>
      </w:r>
      <w:r>
        <w:rPr>
          <w:rFonts w:hint="eastAsia"/>
          <w:b/>
          <w:bCs/>
          <w:color w:val="auto"/>
          <w:kern w:val="0"/>
          <w:sz w:val="32"/>
          <w:highlight w:val="none"/>
          <w:lang w:val="zh-CN"/>
        </w:rPr>
        <w:t>审查</w:t>
      </w:r>
      <w:bookmarkEnd w:id="225"/>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w:t>
      </w:r>
      <w:r>
        <w:rPr>
          <w:rFonts w:hint="eastAsia" w:ascii="宋体" w:hAnsi="宋体"/>
          <w:color w:val="auto"/>
          <w:kern w:val="0"/>
          <w:szCs w:val="21"/>
          <w:highlight w:val="none"/>
        </w:rPr>
        <w:t>磋商小组依据本章第</w:t>
      </w:r>
      <w:r>
        <w:rPr>
          <w:rFonts w:ascii="宋体" w:hAnsi="宋体"/>
          <w:color w:val="auto"/>
          <w:kern w:val="0"/>
          <w:szCs w:val="21"/>
          <w:highlight w:val="none"/>
        </w:rPr>
        <w:t>2.1</w:t>
      </w:r>
      <w:r>
        <w:rPr>
          <w:rFonts w:hint="eastAsia" w:ascii="宋体" w:hAnsi="宋体"/>
          <w:color w:val="auto"/>
          <w:kern w:val="0"/>
          <w:szCs w:val="21"/>
          <w:highlight w:val="none"/>
        </w:rPr>
        <w:t>项规定的标准对响应文件进行实质性要求审查。有一项不符合磋商标准的，不通过实质性要求审查，不再参与磋商。当响应磋商文件实质性要求的供应商少于</w:t>
      </w:r>
      <w:r>
        <w:rPr>
          <w:rFonts w:ascii="宋体" w:hAnsi="宋体"/>
          <w:color w:val="auto"/>
          <w:kern w:val="0"/>
          <w:szCs w:val="21"/>
          <w:highlight w:val="none"/>
        </w:rPr>
        <w:t>3家时，磋商小组可以否决全部磋商申请。当响应磋商文件实质性要求的供应商为2家时，磋商小组经评审认为仍具有竞争力时，磋商小组可继续进行评审。当响应磋商文件实质性要求的供应商只有1家的，应当终止竞争性磋商采购活动，发布项目终止公告并说明原因，重新开展采购活动。</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3.1.2</w:t>
      </w:r>
      <w:r>
        <w:rPr>
          <w:rFonts w:hint="eastAsia" w:ascii="宋体" w:hAnsi="宋体"/>
          <w:color w:val="auto"/>
          <w:kern w:val="0"/>
          <w:szCs w:val="21"/>
          <w:highlight w:val="none"/>
        </w:rPr>
        <w:t>项目需求的审查以响应文件中所提供的服务指标规范响应表进行审查；响应文件中未提供相应资料的，按不实质性响应磋商文件处理。</w:t>
      </w:r>
    </w:p>
    <w:p>
      <w:pPr>
        <w:keepNext/>
        <w:keepLines/>
        <w:tabs>
          <w:tab w:val="left" w:pos="900"/>
        </w:tabs>
        <w:spacing w:after="120" w:line="360" w:lineRule="auto"/>
        <w:jc w:val="left"/>
        <w:outlineLvl w:val="2"/>
        <w:rPr>
          <w:b/>
          <w:bCs/>
          <w:color w:val="auto"/>
          <w:kern w:val="0"/>
          <w:sz w:val="32"/>
          <w:highlight w:val="none"/>
          <w:lang w:val="zh-CN"/>
        </w:rPr>
      </w:pPr>
      <w:bookmarkStart w:id="226" w:name="_Toc86124100"/>
      <w:bookmarkStart w:id="227" w:name="_Toc191374453"/>
      <w:bookmarkStart w:id="228" w:name="_Toc48271433"/>
      <w:bookmarkStart w:id="229" w:name="_Toc378499756"/>
      <w:bookmarkStart w:id="230" w:name="_Toc383175537"/>
      <w:bookmarkStart w:id="231" w:name="_Toc347849275"/>
      <w:bookmarkStart w:id="232" w:name="_Toc329810241"/>
      <w:r>
        <w:rPr>
          <w:b/>
          <w:bCs/>
          <w:color w:val="auto"/>
          <w:kern w:val="0"/>
          <w:sz w:val="32"/>
          <w:highlight w:val="none"/>
          <w:lang w:val="zh-CN"/>
        </w:rPr>
        <w:t xml:space="preserve">3.2 </w:t>
      </w:r>
      <w:bookmarkEnd w:id="226"/>
      <w:bookmarkEnd w:id="227"/>
      <w:bookmarkStart w:id="233" w:name="_Toc86124101"/>
      <w:bookmarkStart w:id="234" w:name="_Toc191374454"/>
      <w:r>
        <w:rPr>
          <w:rFonts w:hint="eastAsia"/>
          <w:b/>
          <w:bCs/>
          <w:color w:val="auto"/>
          <w:kern w:val="0"/>
          <w:sz w:val="32"/>
          <w:highlight w:val="none"/>
          <w:lang w:val="zh-CN"/>
        </w:rPr>
        <w:t>磋商</w:t>
      </w:r>
      <w:bookmarkEnd w:id="228"/>
      <w:r>
        <w:rPr>
          <w:rFonts w:hint="eastAsia"/>
          <w:b/>
          <w:bCs/>
          <w:color w:val="auto"/>
          <w:kern w:val="0"/>
          <w:sz w:val="32"/>
          <w:highlight w:val="none"/>
          <w:lang w:val="zh-CN"/>
        </w:rPr>
        <w:t>、比较与评价</w:t>
      </w:r>
      <w:bookmarkEnd w:id="229"/>
      <w:bookmarkEnd w:id="230"/>
      <w:bookmarkEnd w:id="231"/>
      <w:bookmarkEnd w:id="232"/>
    </w:p>
    <w:bookmarkEnd w:id="233"/>
    <w:bookmarkEnd w:id="234"/>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3.2.1</w:t>
      </w:r>
      <w:r>
        <w:rPr>
          <w:rFonts w:hint="eastAsia" w:ascii="宋体" w:hAnsi="宋体"/>
          <w:color w:val="auto"/>
          <w:kern w:val="0"/>
          <w:szCs w:val="21"/>
          <w:highlight w:val="none"/>
        </w:rPr>
        <w:t>磋商小组所有成员集中与通过实质性审查的单一供应商分别进行磋商。在磋商中，磋商的任何一方不得透露与磋商有关的其他供应商的技术资料、价格、折扣和其他信息。</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3.2.2</w:t>
      </w:r>
      <w:r>
        <w:rPr>
          <w:rFonts w:hint="eastAsia" w:ascii="宋体" w:hAnsi="宋体"/>
          <w:color w:val="auto"/>
          <w:kern w:val="0"/>
          <w:szCs w:val="21"/>
          <w:highlight w:val="none"/>
        </w:rPr>
        <w:t>磋商文件有实质性变动的，磋商小组将经采购人代表确认后，以书面形式通知所有参加磋商的供应商。但不得对涉及竞争的公平、公正性内容进行修改、变动。</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3.2.3</w:t>
      </w:r>
      <w:r>
        <w:rPr>
          <w:rFonts w:hint="eastAsia" w:ascii="宋体" w:hAnsi="宋体"/>
          <w:color w:val="auto"/>
          <w:kern w:val="0"/>
          <w:szCs w:val="21"/>
          <w:highlight w:val="none"/>
        </w:rPr>
        <w:t>为有助于对响应文件的详细审查、评价和比较，磋商小组可要求对供应商分别进行技术询问、澄清，有关要求和答复均现场进行。</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3.2.4</w:t>
      </w:r>
      <w:r>
        <w:rPr>
          <w:rFonts w:hint="eastAsia" w:ascii="宋体" w:hAnsi="宋体"/>
          <w:color w:val="auto"/>
          <w:kern w:val="0"/>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3.2.5</w:t>
      </w:r>
      <w:r>
        <w:rPr>
          <w:rFonts w:hint="eastAsia" w:ascii="宋体" w:hAnsi="宋体"/>
          <w:color w:val="auto"/>
          <w:kern w:val="0"/>
          <w:szCs w:val="21"/>
          <w:highlight w:val="none"/>
        </w:rPr>
        <w:t>磋商小组对供应商提交的澄清、说明有疑问的，可以要求供应商进一步澄清、说明。磋商小组要求供应商澄清、说明或者更正响应文件应当以书面形式作出。供应商的澄清、说明或者更正应当由法定代表人或其授权代表签字或者加盖公章。</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3.2.6</w:t>
      </w:r>
      <w:r>
        <w:rPr>
          <w:rFonts w:hint="eastAsia" w:ascii="宋体" w:hAnsi="宋体"/>
          <w:color w:val="auto"/>
          <w:kern w:val="0"/>
          <w:szCs w:val="21"/>
          <w:highlight w:val="none"/>
        </w:rPr>
        <w:t>磋商结束后，磋商小组将要求所有继续参加磋商的供应商在规定时间内提交最后报价，提交最后报价的供应商不得少于</w:t>
      </w:r>
      <w:r>
        <w:rPr>
          <w:rFonts w:ascii="宋体" w:hAnsi="宋体"/>
          <w:color w:val="auto"/>
          <w:kern w:val="0"/>
          <w:szCs w:val="21"/>
          <w:highlight w:val="none"/>
        </w:rPr>
        <w:t>3家（购买服务项目及科研项目不得少于2家）。</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3.2.7</w:t>
      </w:r>
      <w:r>
        <w:rPr>
          <w:rFonts w:hint="eastAsia" w:ascii="宋体" w:hAnsi="宋体"/>
          <w:color w:val="auto"/>
          <w:kern w:val="0"/>
          <w:szCs w:val="21"/>
          <w:highlight w:val="none"/>
        </w:rPr>
        <w:t>磋商小组成员要依法独立审查，并对审查意见承担个人责任。磋商小组成员对需要共同认定的事项存在争议的，按照少数服从多数的原则做出结论。</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3.2.8磋商小组成员按本章规定的量化因素和分值进行打分，并计算出供应商的评标总得分。</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3.2.9 F2得分由磋商小组成员独立评分，计算各供应商得分的算术平均值计入各供应商总分。评分分值计算保留小数点后两位，小数点后第三位“四舍五入”。</w:t>
      </w:r>
    </w:p>
    <w:p>
      <w:pPr>
        <w:widowControl/>
        <w:spacing w:line="360" w:lineRule="auto"/>
        <w:ind w:firstLine="480"/>
        <w:jc w:val="left"/>
        <w:rPr>
          <w:rFonts w:ascii="宋体" w:hAnsi="宋体"/>
          <w:color w:val="auto"/>
          <w:kern w:val="0"/>
          <w:szCs w:val="21"/>
          <w:highlight w:val="none"/>
        </w:rPr>
      </w:pPr>
      <w:r>
        <w:rPr>
          <w:rFonts w:ascii="宋体" w:hAnsi="宋体"/>
          <w:color w:val="auto"/>
          <w:kern w:val="0"/>
          <w:szCs w:val="21"/>
          <w:highlight w:val="none"/>
        </w:rPr>
        <w:t>3.2.10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keepLines/>
        <w:tabs>
          <w:tab w:val="left" w:pos="900"/>
        </w:tabs>
        <w:spacing w:after="120" w:line="360" w:lineRule="auto"/>
        <w:jc w:val="left"/>
        <w:outlineLvl w:val="2"/>
        <w:rPr>
          <w:b/>
          <w:bCs/>
          <w:color w:val="auto"/>
          <w:kern w:val="0"/>
          <w:sz w:val="32"/>
          <w:highlight w:val="none"/>
          <w:lang w:val="zh-CN"/>
        </w:rPr>
      </w:pPr>
      <w:bookmarkStart w:id="235" w:name="_Toc383175538"/>
      <w:bookmarkStart w:id="236" w:name="_Toc329810242"/>
      <w:bookmarkStart w:id="237" w:name="_Toc378499757"/>
      <w:bookmarkStart w:id="238" w:name="_Toc347849276"/>
      <w:r>
        <w:rPr>
          <w:b/>
          <w:bCs/>
          <w:color w:val="auto"/>
          <w:kern w:val="0"/>
          <w:sz w:val="32"/>
          <w:highlight w:val="none"/>
          <w:lang w:val="zh-CN"/>
        </w:rPr>
        <w:t xml:space="preserve">3.3 </w:t>
      </w:r>
      <w:r>
        <w:rPr>
          <w:rFonts w:hint="eastAsia"/>
          <w:b/>
          <w:bCs/>
          <w:color w:val="auto"/>
          <w:kern w:val="0"/>
          <w:sz w:val="32"/>
          <w:highlight w:val="none"/>
          <w:lang w:val="zh-CN"/>
        </w:rPr>
        <w:t>磋商结果</w:t>
      </w:r>
      <w:bookmarkEnd w:id="235"/>
      <w:bookmarkEnd w:id="236"/>
      <w:bookmarkEnd w:id="237"/>
      <w:bookmarkEnd w:id="238"/>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磋商小组对各供应商的响应文件进行详细评审及打分。磋商小组按照最终得分的高低推荐成交候选人，推荐成交候选人</w:t>
      </w:r>
      <w:r>
        <w:rPr>
          <w:rFonts w:ascii="宋体" w:hAnsi="宋体"/>
          <w:color w:val="auto"/>
          <w:kern w:val="0"/>
          <w:szCs w:val="21"/>
          <w:highlight w:val="none"/>
        </w:rPr>
        <w:t>3人（2人），并标明排列顺序。</w:t>
      </w:r>
    </w:p>
    <w:p>
      <w:pPr>
        <w:rPr>
          <w:b/>
          <w:bCs/>
          <w:color w:val="auto"/>
          <w:kern w:val="0"/>
          <w:sz w:val="32"/>
          <w:highlight w:val="none"/>
          <w:lang w:val="zh-CN"/>
        </w:rPr>
      </w:pPr>
      <w:r>
        <w:rPr>
          <w:rFonts w:hint="eastAsia"/>
          <w:b/>
          <w:bCs/>
          <w:color w:val="auto"/>
          <w:kern w:val="0"/>
          <w:sz w:val="32"/>
          <w:highlight w:val="none"/>
          <w:lang w:val="zh-CN"/>
        </w:rPr>
        <w:t>3.4响应文件如果出现计算或表达上的错误，修正错误的原则如下：</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（一）响应文件中开标一览表（报价表）内容与响应文件中相应内容不一致的，以开标一览表（报价表）为准；</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（二）大写金额和小写金额不一致的，以大写金额为准；</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（三）单价金额小数点或者百分比有明显错位的，以开标一览表的总价为准，并修改单价；</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（四）总价金额与按单价汇总金额不一致的，以单价金额计算结果为准。</w:t>
      </w:r>
    </w:p>
    <w:p>
      <w:pPr>
        <w:widowControl/>
        <w:spacing w:line="360" w:lineRule="auto"/>
        <w:ind w:firstLine="480"/>
        <w:jc w:val="left"/>
        <w:rPr>
          <w:rFonts w:ascii="宋体" w:hAnsi="宋体"/>
          <w:color w:val="auto"/>
          <w:kern w:val="0"/>
          <w:szCs w:val="21"/>
          <w:highlight w:val="none"/>
        </w:rPr>
      </w:pPr>
      <w:r>
        <w:rPr>
          <w:rFonts w:hint="eastAsia" w:ascii="宋体" w:hAnsi="宋体"/>
          <w:color w:val="auto"/>
          <w:kern w:val="0"/>
          <w:szCs w:val="21"/>
          <w:highlight w:val="none"/>
        </w:rPr>
        <w:t>★同时出现两种以上不一致的，按照前款规定的顺序修正。按上述修正错误的原则及方法调整或修正响应文件的磋商报价，供应商同意后，调整后的磋商报价对供应商起约束作用。如果供应商不接受修正后的报价，则其投标无效。</w:t>
      </w:r>
    </w:p>
    <w:p>
      <w:pPr>
        <w:widowControl/>
        <w:spacing w:line="360" w:lineRule="auto"/>
        <w:ind w:firstLine="480"/>
        <w:jc w:val="left"/>
        <w:rPr>
          <w:rFonts w:ascii="宋体" w:hAnsi="宋体"/>
          <w:color w:val="auto"/>
          <w:kern w:val="0"/>
          <w:sz w:val="24"/>
          <w:highlight w:val="none"/>
        </w:rPr>
      </w:pPr>
      <w:r>
        <w:rPr>
          <w:rFonts w:hint="eastAsia"/>
          <w:b/>
          <w:color w:val="auto"/>
          <w:highlight w:val="none"/>
        </w:rPr>
        <w:t>注：3.6磋商小组认为供应商的报价明显低于其他通过实质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3360"/>
        </w:tabs>
        <w:rPr>
          <w:color w:val="auto"/>
          <w:highlight w:val="none"/>
        </w:rPr>
      </w:pPr>
    </w:p>
    <w:sectPr>
      <w:pgSz w:w="11906" w:h="16838"/>
      <w:pgMar w:top="936" w:right="1134" w:bottom="1089" w:left="1276" w:header="567"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E14C0C-1F36-4573-892D-21B7F5C68C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BB309239-89E5-4A52-BF2A-6E9F86988C7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A825A60-9519-4D3C-B0B0-23B5A7E12931}"/>
  </w:font>
  <w:font w:name="仿宋_GB2312">
    <w:panose1 w:val="02010609030101010101"/>
    <w:charset w:val="86"/>
    <w:family w:val="modern"/>
    <w:pitch w:val="default"/>
    <w:sig w:usb0="00000001" w:usb1="080E0000" w:usb2="00000000" w:usb3="00000000" w:csb0="00040000" w:csb1="00000000"/>
    <w:embedRegular r:id="rId4" w:fontKey="{D9004679-1597-487A-A1DB-ABDA0E0B42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5" w:fontKey="{9959AD7F-204F-44DA-A286-C0788E974962}"/>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F575D021-D3E9-42D1-A853-8D354C218A4F}"/>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宋一简体">
    <w:altName w:val="宋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7" w:fontKey="{5AA5030A-6ED0-42FA-AEEF-DB05189CD9EE}"/>
  </w:font>
  <w:font w:name="方正仿宋简体">
    <w:altName w:val="微软雅黑"/>
    <w:panose1 w:val="00000000000000000000"/>
    <w:charset w:val="86"/>
    <w:family w:val="auto"/>
    <w:pitch w:val="default"/>
    <w:sig w:usb0="00000000" w:usb1="00000000" w:usb2="00000000" w:usb3="00000000" w:csb0="00040000" w:csb1="00000000"/>
    <w:embedRegular r:id="rId8" w:fontKey="{7D5DBA47-E38F-4F59-A690-E8A8FE28F4FF}"/>
  </w:font>
  <w:font w:name="华文细黑">
    <w:panose1 w:val="02010600040101010101"/>
    <w:charset w:val="86"/>
    <w:family w:val="auto"/>
    <w:pitch w:val="default"/>
    <w:sig w:usb0="00000287" w:usb1="080F0000" w:usb2="00000000" w:usb3="00000000" w:csb0="0004009F" w:csb1="DFD70000"/>
    <w:embedRegular r:id="rId9" w:fontKey="{CB88F51C-0FB3-4224-BACF-47CF03A10259}"/>
  </w:font>
  <w:font w:name="新宋体-18030">
    <w:altName w:val="宋体"/>
    <w:panose1 w:val="00000000000000000000"/>
    <w:charset w:val="86"/>
    <w:family w:val="modern"/>
    <w:pitch w:val="default"/>
    <w:sig w:usb0="00000000" w:usb1="00000000" w:usb2="000A005E" w:usb3="00000000" w:csb0="00040001" w:csb1="00000000"/>
    <w:embedRegular r:id="rId10" w:fontKey="{4E8D2870-A438-4959-85F7-F5A3336BA985}"/>
  </w:font>
  <w:font w:name="宋体-18030">
    <w:altName w:val="宋体"/>
    <w:panose1 w:val="00000000000000000000"/>
    <w:charset w:val="86"/>
    <w:family w:val="modern"/>
    <w:pitch w:val="default"/>
    <w:sig w:usb0="00000000" w:usb1="00000000" w:usb2="000A005E" w:usb3="00000000" w:csb0="00040001" w:csb1="00000000"/>
    <w:embedRegular r:id="rId11" w:fontKey="{8B04D311-57B7-4290-824C-BC4ADD4267E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05600"/>
    </w:sdtPr>
    <w:sdtContent>
      <w:p>
        <w:pPr>
          <w:pStyle w:val="38"/>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70B3A"/>
    <w:multiLevelType w:val="singleLevel"/>
    <w:tmpl w:val="B4D70B3A"/>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786"/>
        </w:tabs>
        <w:ind w:left="786" w:hanging="360"/>
      </w:pPr>
      <w:rPr>
        <w:rFonts w:hint="default" w:cs="Times New Roman"/>
      </w:rPr>
    </w:lvl>
    <w:lvl w:ilvl="1" w:tentative="0">
      <w:start w:val="1"/>
      <w:numFmt w:val="decimal"/>
      <w:pStyle w:val="371"/>
      <w:isLgl/>
      <w:lvlText w:val="%1.%2"/>
      <w:lvlJc w:val="left"/>
      <w:pPr>
        <w:ind w:left="1335" w:hanging="915"/>
      </w:pPr>
      <w:rPr>
        <w:rFonts w:hint="default" w:cs="Times New Roman"/>
      </w:rPr>
    </w:lvl>
    <w:lvl w:ilvl="2" w:tentative="0">
      <w:start w:val="1"/>
      <w:numFmt w:val="decimal"/>
      <w:pStyle w:val="468"/>
      <w:isLgl/>
      <w:lvlText w:val="%1.%2.%3"/>
      <w:lvlJc w:val="left"/>
      <w:pPr>
        <w:ind w:left="1613" w:hanging="915"/>
      </w:pPr>
      <w:rPr>
        <w:rFonts w:hint="default" w:cs="Times New Roman"/>
      </w:rPr>
    </w:lvl>
    <w:lvl w:ilvl="3" w:tentative="0">
      <w:start w:val="1"/>
      <w:numFmt w:val="decimal"/>
      <w:isLgl/>
      <w:lvlText w:val="%1.%2.%3.%4"/>
      <w:lvlJc w:val="left"/>
      <w:pPr>
        <w:ind w:left="1891" w:hanging="915"/>
      </w:pPr>
      <w:rPr>
        <w:rFonts w:hint="default" w:cs="Times New Roman"/>
      </w:rPr>
    </w:lvl>
    <w:lvl w:ilvl="4" w:tentative="0">
      <w:start w:val="1"/>
      <w:numFmt w:val="decimal"/>
      <w:isLgl/>
      <w:lvlText w:val="%1.%2.%3.%4.%5"/>
      <w:lvlJc w:val="left"/>
      <w:pPr>
        <w:ind w:left="2334" w:hanging="1080"/>
      </w:pPr>
      <w:rPr>
        <w:rFonts w:hint="default" w:cs="Times New Roman"/>
      </w:rPr>
    </w:lvl>
    <w:lvl w:ilvl="5" w:tentative="0">
      <w:start w:val="1"/>
      <w:numFmt w:val="decimal"/>
      <w:isLgl/>
      <w:lvlText w:val="%1.%2.%3.%4.%5.%6"/>
      <w:lvlJc w:val="left"/>
      <w:pPr>
        <w:ind w:left="2612" w:hanging="1080"/>
      </w:pPr>
      <w:rPr>
        <w:rFonts w:hint="default" w:cs="Times New Roman"/>
      </w:rPr>
    </w:lvl>
    <w:lvl w:ilvl="6" w:tentative="0">
      <w:start w:val="1"/>
      <w:numFmt w:val="decimal"/>
      <w:isLgl/>
      <w:lvlText w:val="%1.%2.%3.%4.%5.%6.%7"/>
      <w:lvlJc w:val="left"/>
      <w:pPr>
        <w:ind w:left="2890" w:hanging="1080"/>
      </w:pPr>
      <w:rPr>
        <w:rFonts w:hint="default" w:cs="Times New Roman"/>
      </w:rPr>
    </w:lvl>
    <w:lvl w:ilvl="7" w:tentative="0">
      <w:start w:val="1"/>
      <w:numFmt w:val="decimal"/>
      <w:isLgl/>
      <w:lvlText w:val="%1.%2.%3.%4.%5.%6.%7.%8"/>
      <w:lvlJc w:val="left"/>
      <w:pPr>
        <w:ind w:left="3528" w:hanging="1440"/>
      </w:pPr>
      <w:rPr>
        <w:rFonts w:hint="default" w:cs="Times New Roman"/>
      </w:rPr>
    </w:lvl>
    <w:lvl w:ilvl="8" w:tentative="0">
      <w:start w:val="1"/>
      <w:numFmt w:val="decimal"/>
      <w:isLgl/>
      <w:lvlText w:val="%1.%2.%3.%4.%5.%6.%7.%8.%9"/>
      <w:lvlJc w:val="left"/>
      <w:pPr>
        <w:ind w:left="3806" w:hanging="1440"/>
      </w:pPr>
      <w:rPr>
        <w:rFonts w:hint="default" w:cs="Times New Roman"/>
      </w:rPr>
    </w:lvl>
  </w:abstractNum>
  <w:abstractNum w:abstractNumId="2">
    <w:nsid w:val="0000000F"/>
    <w:multiLevelType w:val="multilevel"/>
    <w:tmpl w:val="0000000F"/>
    <w:lvl w:ilvl="0" w:tentative="0">
      <w:start w:val="1"/>
      <w:numFmt w:val="decimalEnclosedCircle"/>
      <w:lvlText w:val="%1"/>
      <w:lvlJc w:val="left"/>
      <w:pPr>
        <w:ind w:left="360" w:hanging="360"/>
      </w:pPr>
      <w:rPr>
        <w:rFonts w:hint="default"/>
      </w:rPr>
    </w:lvl>
    <w:lvl w:ilvl="1" w:tentative="0">
      <w:start w:val="1"/>
      <w:numFmt w:val="lowerLetter"/>
      <w:pStyle w:val="46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4547B4"/>
    <w:multiLevelType w:val="multilevel"/>
    <w:tmpl w:val="024547B4"/>
    <w:lvl w:ilvl="0" w:tentative="0">
      <w:start w:val="14"/>
      <w:numFmt w:val="decimal"/>
      <w:pStyle w:val="32"/>
      <w:lvlText w:val="%1"/>
      <w:lvlJc w:val="left"/>
      <w:pPr>
        <w:ind w:left="375" w:hanging="375"/>
      </w:pPr>
      <w:rPr>
        <w:rFonts w:hint="default"/>
      </w:rPr>
    </w:lvl>
    <w:lvl w:ilvl="1" w:tentative="0">
      <w:start w:val="3"/>
      <w:numFmt w:val="decimal"/>
      <w:lvlText w:val="%1.%2"/>
      <w:lvlJc w:val="left"/>
      <w:pPr>
        <w:ind w:left="1140" w:hanging="72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520" w:hanging="2160"/>
      </w:pPr>
      <w:rPr>
        <w:rFonts w:hint="default"/>
      </w:rPr>
    </w:lvl>
  </w:abstractNum>
  <w:abstractNum w:abstractNumId="4">
    <w:nsid w:val="0D563CC4"/>
    <w:multiLevelType w:val="multilevel"/>
    <w:tmpl w:val="0D563CC4"/>
    <w:lvl w:ilvl="0" w:tentative="0">
      <w:start w:val="1"/>
      <w:numFmt w:val="decimal"/>
      <w:pStyle w:val="207"/>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2E757F"/>
    <w:multiLevelType w:val="multilevel"/>
    <w:tmpl w:val="132E757F"/>
    <w:lvl w:ilvl="0" w:tentative="0">
      <w:start w:val="1"/>
      <w:numFmt w:val="decimal"/>
      <w:pStyle w:val="678"/>
      <w:lvlText w:val="%1"/>
      <w:lvlJc w:val="left"/>
      <w:pPr>
        <w:ind w:left="360" w:hanging="360"/>
      </w:pPr>
      <w:rPr>
        <w:rFonts w:hint="default"/>
      </w:rPr>
    </w:lvl>
    <w:lvl w:ilvl="1" w:tentative="0">
      <w:start w:val="1"/>
      <w:numFmt w:val="decimal"/>
      <w:lvlText w:val="2.%2"/>
      <w:lvlJc w:val="left"/>
      <w:pPr>
        <w:ind w:left="784" w:hanging="360"/>
      </w:pPr>
      <w:rPr>
        <w:rFonts w:hint="eastAsia"/>
      </w:rPr>
    </w:lvl>
    <w:lvl w:ilvl="2" w:tentative="0">
      <w:start w:val="1"/>
      <w:numFmt w:val="decimal"/>
      <w:lvlText w:val="%1.%2.%3"/>
      <w:lvlJc w:val="left"/>
      <w:pPr>
        <w:ind w:left="1568" w:hanging="720"/>
      </w:pPr>
      <w:rPr>
        <w:rFonts w:hint="default"/>
      </w:rPr>
    </w:lvl>
    <w:lvl w:ilvl="3" w:tentative="0">
      <w:start w:val="1"/>
      <w:numFmt w:val="decimal"/>
      <w:lvlText w:val="%1.%2.%3.%4"/>
      <w:lvlJc w:val="left"/>
      <w:pPr>
        <w:ind w:left="1992" w:hanging="720"/>
      </w:pPr>
      <w:rPr>
        <w:rFonts w:hint="default"/>
      </w:rPr>
    </w:lvl>
    <w:lvl w:ilvl="4" w:tentative="0">
      <w:start w:val="1"/>
      <w:numFmt w:val="decimal"/>
      <w:lvlText w:val="%1.%2.%3.%4.%5"/>
      <w:lvlJc w:val="left"/>
      <w:pPr>
        <w:ind w:left="2776" w:hanging="1080"/>
      </w:pPr>
      <w:rPr>
        <w:rFonts w:hint="default"/>
      </w:rPr>
    </w:lvl>
    <w:lvl w:ilvl="5" w:tentative="0">
      <w:start w:val="1"/>
      <w:numFmt w:val="decimal"/>
      <w:lvlText w:val="%1.%2.%3.%4.%5.%6"/>
      <w:lvlJc w:val="left"/>
      <w:pPr>
        <w:ind w:left="3200" w:hanging="1080"/>
      </w:pPr>
      <w:rPr>
        <w:rFonts w:hint="default"/>
      </w:rPr>
    </w:lvl>
    <w:lvl w:ilvl="6" w:tentative="0">
      <w:start w:val="1"/>
      <w:numFmt w:val="decimal"/>
      <w:lvlText w:val="%1.%2.%3.%4.%5.%6.%7"/>
      <w:lvlJc w:val="left"/>
      <w:pPr>
        <w:ind w:left="3624" w:hanging="1080"/>
      </w:pPr>
      <w:rPr>
        <w:rFonts w:hint="default"/>
      </w:rPr>
    </w:lvl>
    <w:lvl w:ilvl="7" w:tentative="0">
      <w:start w:val="1"/>
      <w:numFmt w:val="decimal"/>
      <w:lvlText w:val="%1.%2.%3.%4.%5.%6.%7.%8"/>
      <w:lvlJc w:val="left"/>
      <w:pPr>
        <w:ind w:left="4408" w:hanging="1440"/>
      </w:pPr>
      <w:rPr>
        <w:rFonts w:hint="default"/>
      </w:rPr>
    </w:lvl>
    <w:lvl w:ilvl="8" w:tentative="0">
      <w:start w:val="1"/>
      <w:numFmt w:val="decimal"/>
      <w:lvlText w:val="%1.%2.%3.%4.%5.%6.%7.%8.%9"/>
      <w:lvlJc w:val="left"/>
      <w:pPr>
        <w:ind w:left="4832" w:hanging="1440"/>
      </w:pPr>
      <w:rPr>
        <w:rFonts w:hint="default"/>
      </w:rPr>
    </w:lvl>
  </w:abstractNum>
  <w:abstractNum w:abstractNumId="6">
    <w:nsid w:val="17A42CF8"/>
    <w:multiLevelType w:val="multilevel"/>
    <w:tmpl w:val="17A42CF8"/>
    <w:lvl w:ilvl="0" w:tentative="0">
      <w:start w:val="6"/>
      <w:numFmt w:val="japaneseCounting"/>
      <w:lvlText w:val="%1、"/>
      <w:lvlJc w:val="left"/>
      <w:pPr>
        <w:ind w:left="720" w:hanging="720"/>
      </w:pPr>
      <w:rPr>
        <w:rFonts w:hint="default"/>
      </w:rPr>
    </w:lvl>
    <w:lvl w:ilvl="1" w:tentative="0">
      <w:start w:val="1"/>
      <w:numFmt w:val="lowerLetter"/>
      <w:pStyle w:val="46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621410"/>
    <w:multiLevelType w:val="multilevel"/>
    <w:tmpl w:val="2E621410"/>
    <w:lvl w:ilvl="0" w:tentative="0">
      <w:start w:val="1"/>
      <w:numFmt w:val="decimalEnclosedCircle"/>
      <w:pStyle w:val="644"/>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8">
    <w:nsid w:val="3135070F"/>
    <w:multiLevelType w:val="multilevel"/>
    <w:tmpl w:val="3135070F"/>
    <w:lvl w:ilvl="0" w:tentative="0">
      <w:start w:val="1"/>
      <w:numFmt w:val="decimal"/>
      <w:lvlText w:val="（%1）"/>
      <w:lvlJc w:val="left"/>
      <w:pPr>
        <w:ind w:left="2690" w:hanging="1080"/>
      </w:pPr>
      <w:rPr>
        <w:rFonts w:hint="default" w:cs="Times New Roman"/>
      </w:rPr>
    </w:lvl>
    <w:lvl w:ilvl="1" w:tentative="0">
      <w:start w:val="1"/>
      <w:numFmt w:val="lowerLetter"/>
      <w:pStyle w:val="540"/>
      <w:lvlText w:val="%2)"/>
      <w:lvlJc w:val="left"/>
      <w:pPr>
        <w:ind w:left="2450" w:hanging="420"/>
      </w:pPr>
      <w:rPr>
        <w:rFonts w:cs="Times New Roman"/>
      </w:rPr>
    </w:lvl>
    <w:lvl w:ilvl="2" w:tentative="0">
      <w:start w:val="1"/>
      <w:numFmt w:val="lowerRoman"/>
      <w:lvlText w:val="%3."/>
      <w:lvlJc w:val="right"/>
      <w:pPr>
        <w:ind w:left="2870" w:hanging="420"/>
      </w:pPr>
      <w:rPr>
        <w:rFonts w:cs="Times New Roman"/>
      </w:rPr>
    </w:lvl>
    <w:lvl w:ilvl="3" w:tentative="0">
      <w:start w:val="1"/>
      <w:numFmt w:val="decimal"/>
      <w:lvlText w:val="%4."/>
      <w:lvlJc w:val="left"/>
      <w:pPr>
        <w:ind w:left="3290" w:hanging="420"/>
      </w:pPr>
      <w:rPr>
        <w:rFonts w:cs="Times New Roman"/>
      </w:rPr>
    </w:lvl>
    <w:lvl w:ilvl="4" w:tentative="0">
      <w:start w:val="1"/>
      <w:numFmt w:val="lowerLetter"/>
      <w:lvlText w:val="%5)"/>
      <w:lvlJc w:val="left"/>
      <w:pPr>
        <w:ind w:left="3710" w:hanging="420"/>
      </w:pPr>
      <w:rPr>
        <w:rFonts w:cs="Times New Roman"/>
      </w:rPr>
    </w:lvl>
    <w:lvl w:ilvl="5" w:tentative="0">
      <w:start w:val="1"/>
      <w:numFmt w:val="lowerRoman"/>
      <w:lvlText w:val="%6."/>
      <w:lvlJc w:val="right"/>
      <w:pPr>
        <w:ind w:left="4130" w:hanging="420"/>
      </w:pPr>
      <w:rPr>
        <w:rFonts w:cs="Times New Roman"/>
      </w:rPr>
    </w:lvl>
    <w:lvl w:ilvl="6" w:tentative="0">
      <w:start w:val="1"/>
      <w:numFmt w:val="decimal"/>
      <w:lvlText w:val="%7."/>
      <w:lvlJc w:val="left"/>
      <w:pPr>
        <w:ind w:left="4550" w:hanging="420"/>
      </w:pPr>
      <w:rPr>
        <w:rFonts w:cs="Times New Roman"/>
      </w:rPr>
    </w:lvl>
    <w:lvl w:ilvl="7" w:tentative="0">
      <w:start w:val="1"/>
      <w:numFmt w:val="lowerLetter"/>
      <w:lvlText w:val="%8)"/>
      <w:lvlJc w:val="left"/>
      <w:pPr>
        <w:ind w:left="4970" w:hanging="420"/>
      </w:pPr>
      <w:rPr>
        <w:rFonts w:cs="Times New Roman"/>
      </w:rPr>
    </w:lvl>
    <w:lvl w:ilvl="8" w:tentative="0">
      <w:start w:val="1"/>
      <w:numFmt w:val="lowerRoman"/>
      <w:lvlText w:val="%9."/>
      <w:lvlJc w:val="right"/>
      <w:pPr>
        <w:ind w:left="5390" w:hanging="420"/>
      </w:pPr>
      <w:rPr>
        <w:rFonts w:cs="Times New Roman"/>
      </w:rPr>
    </w:lvl>
  </w:abstractNum>
  <w:abstractNum w:abstractNumId="9">
    <w:nsid w:val="38A835D5"/>
    <w:multiLevelType w:val="multilevel"/>
    <w:tmpl w:val="38A835D5"/>
    <w:lvl w:ilvl="0" w:tentative="0">
      <w:start w:val="1"/>
      <w:numFmt w:val="decimal"/>
      <w:pStyle w:val="710"/>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40D31E37"/>
    <w:multiLevelType w:val="multilevel"/>
    <w:tmpl w:val="40D31E37"/>
    <w:lvl w:ilvl="0" w:tentative="0">
      <w:start w:val="1"/>
      <w:numFmt w:val="decimal"/>
      <w:pStyle w:val="671"/>
      <w:lvlText w:val="%1"/>
      <w:lvlJc w:val="left"/>
      <w:pPr>
        <w:ind w:left="360" w:hanging="360"/>
      </w:pPr>
      <w:rPr>
        <w:rFonts w:hint="default"/>
      </w:rPr>
    </w:lvl>
    <w:lvl w:ilvl="1" w:tentative="0">
      <w:start w:val="1"/>
      <w:numFmt w:val="decimal"/>
      <w:lvlText w:val="5.%2"/>
      <w:lvlJc w:val="left"/>
      <w:pPr>
        <w:ind w:left="784" w:hanging="360"/>
      </w:pPr>
      <w:rPr>
        <w:rFonts w:hint="eastAsia"/>
      </w:rPr>
    </w:lvl>
    <w:lvl w:ilvl="2" w:tentative="0">
      <w:start w:val="1"/>
      <w:numFmt w:val="decimal"/>
      <w:lvlText w:val="%1.%2.%3"/>
      <w:lvlJc w:val="left"/>
      <w:pPr>
        <w:ind w:left="1568" w:hanging="720"/>
      </w:pPr>
      <w:rPr>
        <w:rFonts w:hint="default"/>
      </w:rPr>
    </w:lvl>
    <w:lvl w:ilvl="3" w:tentative="0">
      <w:start w:val="1"/>
      <w:numFmt w:val="decimal"/>
      <w:lvlText w:val="%1.%2.%3.%4"/>
      <w:lvlJc w:val="left"/>
      <w:pPr>
        <w:ind w:left="1992" w:hanging="720"/>
      </w:pPr>
      <w:rPr>
        <w:rFonts w:hint="default"/>
      </w:rPr>
    </w:lvl>
    <w:lvl w:ilvl="4" w:tentative="0">
      <w:start w:val="1"/>
      <w:numFmt w:val="decimal"/>
      <w:lvlText w:val="%1.%2.%3.%4.%5"/>
      <w:lvlJc w:val="left"/>
      <w:pPr>
        <w:ind w:left="2776" w:hanging="1080"/>
      </w:pPr>
      <w:rPr>
        <w:rFonts w:hint="default"/>
      </w:rPr>
    </w:lvl>
    <w:lvl w:ilvl="5" w:tentative="0">
      <w:start w:val="1"/>
      <w:numFmt w:val="decimal"/>
      <w:lvlText w:val="%1.%2.%3.%4.%5.%6"/>
      <w:lvlJc w:val="left"/>
      <w:pPr>
        <w:ind w:left="3200" w:hanging="1080"/>
      </w:pPr>
      <w:rPr>
        <w:rFonts w:hint="default"/>
      </w:rPr>
    </w:lvl>
    <w:lvl w:ilvl="6" w:tentative="0">
      <w:start w:val="1"/>
      <w:numFmt w:val="decimal"/>
      <w:lvlText w:val="%1.%2.%3.%4.%5.%6.%7"/>
      <w:lvlJc w:val="left"/>
      <w:pPr>
        <w:ind w:left="3624" w:hanging="1080"/>
      </w:pPr>
      <w:rPr>
        <w:rFonts w:hint="default"/>
      </w:rPr>
    </w:lvl>
    <w:lvl w:ilvl="7" w:tentative="0">
      <w:start w:val="1"/>
      <w:numFmt w:val="decimal"/>
      <w:lvlText w:val="%1.%2.%3.%4.%5.%6.%7.%8"/>
      <w:lvlJc w:val="left"/>
      <w:pPr>
        <w:ind w:left="4408" w:hanging="1440"/>
      </w:pPr>
      <w:rPr>
        <w:rFonts w:hint="default"/>
      </w:rPr>
    </w:lvl>
    <w:lvl w:ilvl="8" w:tentative="0">
      <w:start w:val="1"/>
      <w:numFmt w:val="decimal"/>
      <w:lvlText w:val="%1.%2.%3.%4.%5.%6.%7.%8.%9"/>
      <w:lvlJc w:val="left"/>
      <w:pPr>
        <w:ind w:left="4832" w:hanging="1440"/>
      </w:pPr>
      <w:rPr>
        <w:rFonts w:hint="default"/>
      </w:rPr>
    </w:lvl>
  </w:abstractNum>
  <w:abstractNum w:abstractNumId="11">
    <w:nsid w:val="48B505E7"/>
    <w:multiLevelType w:val="multilevel"/>
    <w:tmpl w:val="48B505E7"/>
    <w:lvl w:ilvl="0" w:tentative="0">
      <w:start w:val="2"/>
      <w:numFmt w:val="japaneseCounting"/>
      <w:pStyle w:val="14"/>
      <w:lvlText w:val="%1、"/>
      <w:lvlJc w:val="left"/>
      <w:pPr>
        <w:ind w:left="720" w:hanging="720"/>
      </w:pPr>
      <w:rPr>
        <w:rFonts w:hint="default"/>
      </w:rPr>
    </w:lvl>
    <w:lvl w:ilvl="1" w:tentative="0">
      <w:start w:val="1"/>
      <w:numFmt w:val="lowerLetter"/>
      <w:pStyle w:val="622"/>
      <w:lvlText w:val="%2)"/>
      <w:lvlJc w:val="left"/>
      <w:pPr>
        <w:ind w:left="840" w:hanging="420"/>
      </w:pPr>
    </w:lvl>
    <w:lvl w:ilvl="2" w:tentative="0">
      <w:start w:val="1"/>
      <w:numFmt w:val="lowerRoman"/>
      <w:pStyle w:val="628"/>
      <w:lvlText w:val="%3."/>
      <w:lvlJc w:val="right"/>
      <w:pPr>
        <w:ind w:left="1260" w:hanging="420"/>
      </w:pPr>
    </w:lvl>
    <w:lvl w:ilvl="3" w:tentative="0">
      <w:start w:val="1"/>
      <w:numFmt w:val="decimal"/>
      <w:pStyle w:val="638"/>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508"/>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6D334D"/>
    <w:multiLevelType w:val="singleLevel"/>
    <w:tmpl w:val="556D334D"/>
    <w:lvl w:ilvl="0" w:tentative="0">
      <w:start w:val="1"/>
      <w:numFmt w:val="decimal"/>
      <w:pStyle w:val="499"/>
      <w:suff w:val="nothing"/>
      <w:lvlText w:val="(%1)"/>
      <w:lvlJc w:val="left"/>
      <w:rPr>
        <w:rFonts w:cs="Times New Roman"/>
      </w:rPr>
    </w:lvl>
  </w:abstractNum>
  <w:abstractNum w:abstractNumId="13">
    <w:nsid w:val="556E6850"/>
    <w:multiLevelType w:val="singleLevel"/>
    <w:tmpl w:val="556E6850"/>
    <w:lvl w:ilvl="0" w:tentative="0">
      <w:start w:val="1"/>
      <w:numFmt w:val="decimal"/>
      <w:pStyle w:val="547"/>
      <w:suff w:val="nothing"/>
      <w:lvlText w:val="（%1）"/>
      <w:lvlJc w:val="left"/>
      <w:rPr>
        <w:rFonts w:cs="Times New Roman"/>
      </w:rPr>
    </w:lvl>
  </w:abstractNum>
  <w:abstractNum w:abstractNumId="14">
    <w:nsid w:val="556E692B"/>
    <w:multiLevelType w:val="singleLevel"/>
    <w:tmpl w:val="556E692B"/>
    <w:lvl w:ilvl="0" w:tentative="0">
      <w:start w:val="2"/>
      <w:numFmt w:val="decimal"/>
      <w:pStyle w:val="569"/>
      <w:suff w:val="nothing"/>
      <w:lvlText w:val="(%1)"/>
      <w:lvlJc w:val="left"/>
      <w:rPr>
        <w:rFonts w:cs="Times New Roman"/>
      </w:rPr>
    </w:lvl>
  </w:abstractNum>
  <w:num w:numId="1">
    <w:abstractNumId w:val="11"/>
  </w:num>
  <w:num w:numId="2">
    <w:abstractNumId w:val="3"/>
  </w:num>
  <w:num w:numId="3">
    <w:abstractNumId w:val="4"/>
  </w:num>
  <w:num w:numId="4">
    <w:abstractNumId w:val="1"/>
  </w:num>
  <w:num w:numId="5">
    <w:abstractNumId w:val="6"/>
  </w:num>
  <w:num w:numId="6">
    <w:abstractNumId w:val="2"/>
  </w:num>
  <w:num w:numId="7">
    <w:abstractNumId w:val="12"/>
  </w:num>
  <w:num w:numId="8">
    <w:abstractNumId w:val="8"/>
  </w:num>
  <w:num w:numId="9">
    <w:abstractNumId w:val="13"/>
  </w:num>
  <w:num w:numId="10">
    <w:abstractNumId w:val="14"/>
  </w:num>
  <w:num w:numId="11">
    <w:abstractNumId w:val="7"/>
  </w:num>
  <w:num w:numId="12">
    <w:abstractNumId w:val="10"/>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77"/>
    <w:rsid w:val="00000810"/>
    <w:rsid w:val="00003942"/>
    <w:rsid w:val="00004A6D"/>
    <w:rsid w:val="000070BE"/>
    <w:rsid w:val="00011BBD"/>
    <w:rsid w:val="00011E76"/>
    <w:rsid w:val="000126C3"/>
    <w:rsid w:val="000128AD"/>
    <w:rsid w:val="0001653C"/>
    <w:rsid w:val="00016753"/>
    <w:rsid w:val="00020E93"/>
    <w:rsid w:val="000308DE"/>
    <w:rsid w:val="000308E1"/>
    <w:rsid w:val="000347F0"/>
    <w:rsid w:val="0003748F"/>
    <w:rsid w:val="00037A2C"/>
    <w:rsid w:val="00037EBF"/>
    <w:rsid w:val="000405E4"/>
    <w:rsid w:val="0004580C"/>
    <w:rsid w:val="00045978"/>
    <w:rsid w:val="00045FCE"/>
    <w:rsid w:val="00047665"/>
    <w:rsid w:val="00052143"/>
    <w:rsid w:val="000525A2"/>
    <w:rsid w:val="000554B8"/>
    <w:rsid w:val="000564B8"/>
    <w:rsid w:val="00060E2A"/>
    <w:rsid w:val="000611D1"/>
    <w:rsid w:val="00065711"/>
    <w:rsid w:val="0006583C"/>
    <w:rsid w:val="00066B28"/>
    <w:rsid w:val="00066F7D"/>
    <w:rsid w:val="00071E98"/>
    <w:rsid w:val="00072F5C"/>
    <w:rsid w:val="0007496F"/>
    <w:rsid w:val="00074B3D"/>
    <w:rsid w:val="000761E0"/>
    <w:rsid w:val="00077E6C"/>
    <w:rsid w:val="00082B43"/>
    <w:rsid w:val="000864F3"/>
    <w:rsid w:val="0009155B"/>
    <w:rsid w:val="00091587"/>
    <w:rsid w:val="00092E7D"/>
    <w:rsid w:val="000947A1"/>
    <w:rsid w:val="00096F37"/>
    <w:rsid w:val="0009786B"/>
    <w:rsid w:val="000A1A64"/>
    <w:rsid w:val="000A1B68"/>
    <w:rsid w:val="000A33E6"/>
    <w:rsid w:val="000A4BCE"/>
    <w:rsid w:val="000A69DA"/>
    <w:rsid w:val="000B753C"/>
    <w:rsid w:val="000C08BE"/>
    <w:rsid w:val="000C530E"/>
    <w:rsid w:val="000C6234"/>
    <w:rsid w:val="000C7513"/>
    <w:rsid w:val="000D1BE0"/>
    <w:rsid w:val="000D2643"/>
    <w:rsid w:val="000D3BCE"/>
    <w:rsid w:val="000D5217"/>
    <w:rsid w:val="000E5C15"/>
    <w:rsid w:val="000E668C"/>
    <w:rsid w:val="000E7278"/>
    <w:rsid w:val="000E768B"/>
    <w:rsid w:val="000E7A04"/>
    <w:rsid w:val="000F1227"/>
    <w:rsid w:val="000F24B5"/>
    <w:rsid w:val="000F3408"/>
    <w:rsid w:val="000F776B"/>
    <w:rsid w:val="00101970"/>
    <w:rsid w:val="0010636A"/>
    <w:rsid w:val="0011164B"/>
    <w:rsid w:val="001138B0"/>
    <w:rsid w:val="00117C80"/>
    <w:rsid w:val="00121DAB"/>
    <w:rsid w:val="001255F9"/>
    <w:rsid w:val="0012699E"/>
    <w:rsid w:val="00131F66"/>
    <w:rsid w:val="00131FB4"/>
    <w:rsid w:val="001321B5"/>
    <w:rsid w:val="00134E68"/>
    <w:rsid w:val="00136C57"/>
    <w:rsid w:val="001377A7"/>
    <w:rsid w:val="00141976"/>
    <w:rsid w:val="00142F98"/>
    <w:rsid w:val="0014366B"/>
    <w:rsid w:val="00143F0C"/>
    <w:rsid w:val="00147674"/>
    <w:rsid w:val="00147B22"/>
    <w:rsid w:val="001500B2"/>
    <w:rsid w:val="0015062E"/>
    <w:rsid w:val="00157A02"/>
    <w:rsid w:val="00160F59"/>
    <w:rsid w:val="00165C60"/>
    <w:rsid w:val="001713D2"/>
    <w:rsid w:val="00172DD0"/>
    <w:rsid w:val="00175567"/>
    <w:rsid w:val="00175C5C"/>
    <w:rsid w:val="00177CEC"/>
    <w:rsid w:val="00177CF4"/>
    <w:rsid w:val="00180D54"/>
    <w:rsid w:val="00183434"/>
    <w:rsid w:val="00186EB1"/>
    <w:rsid w:val="00187F66"/>
    <w:rsid w:val="00197E46"/>
    <w:rsid w:val="001A00A0"/>
    <w:rsid w:val="001A15C0"/>
    <w:rsid w:val="001A217C"/>
    <w:rsid w:val="001A3DA7"/>
    <w:rsid w:val="001A5321"/>
    <w:rsid w:val="001A5B74"/>
    <w:rsid w:val="001A79D1"/>
    <w:rsid w:val="001B0AD0"/>
    <w:rsid w:val="001B1D26"/>
    <w:rsid w:val="001B1E6A"/>
    <w:rsid w:val="001C0BAE"/>
    <w:rsid w:val="001C393F"/>
    <w:rsid w:val="001C7B9E"/>
    <w:rsid w:val="001D38D2"/>
    <w:rsid w:val="001D4DC5"/>
    <w:rsid w:val="001D76B0"/>
    <w:rsid w:val="001E0610"/>
    <w:rsid w:val="001E1D18"/>
    <w:rsid w:val="001E4467"/>
    <w:rsid w:val="001E48D9"/>
    <w:rsid w:val="001E4F14"/>
    <w:rsid w:val="001E61D5"/>
    <w:rsid w:val="001E6D10"/>
    <w:rsid w:val="001E7D77"/>
    <w:rsid w:val="001F1373"/>
    <w:rsid w:val="001F6376"/>
    <w:rsid w:val="002042AF"/>
    <w:rsid w:val="002112B0"/>
    <w:rsid w:val="002127B9"/>
    <w:rsid w:val="002219CF"/>
    <w:rsid w:val="00221A01"/>
    <w:rsid w:val="0022387E"/>
    <w:rsid w:val="0022417F"/>
    <w:rsid w:val="002257E7"/>
    <w:rsid w:val="00227B3C"/>
    <w:rsid w:val="002317D0"/>
    <w:rsid w:val="0023220A"/>
    <w:rsid w:val="002348EA"/>
    <w:rsid w:val="00235AB4"/>
    <w:rsid w:val="002367BB"/>
    <w:rsid w:val="00236EDC"/>
    <w:rsid w:val="002422CB"/>
    <w:rsid w:val="00242AF9"/>
    <w:rsid w:val="00250722"/>
    <w:rsid w:val="002573FB"/>
    <w:rsid w:val="0026110E"/>
    <w:rsid w:val="00263BDF"/>
    <w:rsid w:val="00266880"/>
    <w:rsid w:val="002741E1"/>
    <w:rsid w:val="00274C3F"/>
    <w:rsid w:val="00276B2F"/>
    <w:rsid w:val="00276C88"/>
    <w:rsid w:val="00281164"/>
    <w:rsid w:val="00281389"/>
    <w:rsid w:val="00281B5D"/>
    <w:rsid w:val="0028529F"/>
    <w:rsid w:val="00285742"/>
    <w:rsid w:val="002900A8"/>
    <w:rsid w:val="0029021F"/>
    <w:rsid w:val="00290D0A"/>
    <w:rsid w:val="002919FA"/>
    <w:rsid w:val="00292258"/>
    <w:rsid w:val="00297727"/>
    <w:rsid w:val="002A078A"/>
    <w:rsid w:val="002A213D"/>
    <w:rsid w:val="002A53F9"/>
    <w:rsid w:val="002A552A"/>
    <w:rsid w:val="002B5FE1"/>
    <w:rsid w:val="002C0033"/>
    <w:rsid w:val="002C06B3"/>
    <w:rsid w:val="002C6E22"/>
    <w:rsid w:val="002D4154"/>
    <w:rsid w:val="002E5314"/>
    <w:rsid w:val="002E5A16"/>
    <w:rsid w:val="002E60F4"/>
    <w:rsid w:val="002F0293"/>
    <w:rsid w:val="00300C9E"/>
    <w:rsid w:val="00303D9F"/>
    <w:rsid w:val="0030746F"/>
    <w:rsid w:val="003104C5"/>
    <w:rsid w:val="00312FE2"/>
    <w:rsid w:val="00313051"/>
    <w:rsid w:val="003142A2"/>
    <w:rsid w:val="00314B6F"/>
    <w:rsid w:val="00314D04"/>
    <w:rsid w:val="00314DA0"/>
    <w:rsid w:val="003163A4"/>
    <w:rsid w:val="003176ED"/>
    <w:rsid w:val="0032013E"/>
    <w:rsid w:val="00321107"/>
    <w:rsid w:val="00322787"/>
    <w:rsid w:val="00324910"/>
    <w:rsid w:val="00327ACA"/>
    <w:rsid w:val="00327B3F"/>
    <w:rsid w:val="00335423"/>
    <w:rsid w:val="00340DD7"/>
    <w:rsid w:val="0034160B"/>
    <w:rsid w:val="00342FE5"/>
    <w:rsid w:val="00343367"/>
    <w:rsid w:val="0034741D"/>
    <w:rsid w:val="00352ECC"/>
    <w:rsid w:val="0035586D"/>
    <w:rsid w:val="00360043"/>
    <w:rsid w:val="00360D89"/>
    <w:rsid w:val="0036128C"/>
    <w:rsid w:val="0036406D"/>
    <w:rsid w:val="00364788"/>
    <w:rsid w:val="003652C7"/>
    <w:rsid w:val="0036634A"/>
    <w:rsid w:val="003678A1"/>
    <w:rsid w:val="00367BA9"/>
    <w:rsid w:val="003701A9"/>
    <w:rsid w:val="00374F12"/>
    <w:rsid w:val="00376901"/>
    <w:rsid w:val="00376CF8"/>
    <w:rsid w:val="00381671"/>
    <w:rsid w:val="00382AD3"/>
    <w:rsid w:val="00384D96"/>
    <w:rsid w:val="00386763"/>
    <w:rsid w:val="0038785E"/>
    <w:rsid w:val="003921D8"/>
    <w:rsid w:val="003935D5"/>
    <w:rsid w:val="003A710B"/>
    <w:rsid w:val="003B05A0"/>
    <w:rsid w:val="003B2D5E"/>
    <w:rsid w:val="003B36BB"/>
    <w:rsid w:val="003B5A40"/>
    <w:rsid w:val="003B6FF2"/>
    <w:rsid w:val="003C638C"/>
    <w:rsid w:val="003C7578"/>
    <w:rsid w:val="003D227B"/>
    <w:rsid w:val="003D27C1"/>
    <w:rsid w:val="003D72B0"/>
    <w:rsid w:val="003E142B"/>
    <w:rsid w:val="003E1B05"/>
    <w:rsid w:val="003E2A82"/>
    <w:rsid w:val="003F0256"/>
    <w:rsid w:val="003F4E9B"/>
    <w:rsid w:val="003F60DC"/>
    <w:rsid w:val="003F674B"/>
    <w:rsid w:val="003F773B"/>
    <w:rsid w:val="00403E2E"/>
    <w:rsid w:val="00406371"/>
    <w:rsid w:val="00410640"/>
    <w:rsid w:val="00413247"/>
    <w:rsid w:val="00413D0C"/>
    <w:rsid w:val="0041506E"/>
    <w:rsid w:val="00421F1A"/>
    <w:rsid w:val="004226C1"/>
    <w:rsid w:val="004244DA"/>
    <w:rsid w:val="004362C6"/>
    <w:rsid w:val="00436EDE"/>
    <w:rsid w:val="00444A9A"/>
    <w:rsid w:val="00444F0D"/>
    <w:rsid w:val="00444FDD"/>
    <w:rsid w:val="00455448"/>
    <w:rsid w:val="004561CC"/>
    <w:rsid w:val="004572E5"/>
    <w:rsid w:val="00460DD8"/>
    <w:rsid w:val="00461894"/>
    <w:rsid w:val="00463054"/>
    <w:rsid w:val="004659B9"/>
    <w:rsid w:val="0046733F"/>
    <w:rsid w:val="00470A13"/>
    <w:rsid w:val="0047290E"/>
    <w:rsid w:val="00472915"/>
    <w:rsid w:val="00476526"/>
    <w:rsid w:val="00480AF8"/>
    <w:rsid w:val="00481A0E"/>
    <w:rsid w:val="00482F39"/>
    <w:rsid w:val="00483D45"/>
    <w:rsid w:val="00485C89"/>
    <w:rsid w:val="00491BFE"/>
    <w:rsid w:val="00492976"/>
    <w:rsid w:val="00492E75"/>
    <w:rsid w:val="00495628"/>
    <w:rsid w:val="00497C76"/>
    <w:rsid w:val="004A2143"/>
    <w:rsid w:val="004A3B2F"/>
    <w:rsid w:val="004B2830"/>
    <w:rsid w:val="004B3FD2"/>
    <w:rsid w:val="004B56FE"/>
    <w:rsid w:val="004B5D90"/>
    <w:rsid w:val="004B7AD4"/>
    <w:rsid w:val="004B7C42"/>
    <w:rsid w:val="004B7C62"/>
    <w:rsid w:val="004C0EC1"/>
    <w:rsid w:val="004C1095"/>
    <w:rsid w:val="004C1138"/>
    <w:rsid w:val="004C1EAA"/>
    <w:rsid w:val="004C2D9A"/>
    <w:rsid w:val="004C323E"/>
    <w:rsid w:val="004C3439"/>
    <w:rsid w:val="004C5605"/>
    <w:rsid w:val="004C57A1"/>
    <w:rsid w:val="004C6D9E"/>
    <w:rsid w:val="004D3919"/>
    <w:rsid w:val="004D3E67"/>
    <w:rsid w:val="004D6592"/>
    <w:rsid w:val="004E06B2"/>
    <w:rsid w:val="004E277D"/>
    <w:rsid w:val="004E394F"/>
    <w:rsid w:val="004E4699"/>
    <w:rsid w:val="004E5408"/>
    <w:rsid w:val="004F03F0"/>
    <w:rsid w:val="004F08BF"/>
    <w:rsid w:val="004F0BBC"/>
    <w:rsid w:val="004F3764"/>
    <w:rsid w:val="004F3D6D"/>
    <w:rsid w:val="004F6ED4"/>
    <w:rsid w:val="0050015D"/>
    <w:rsid w:val="00504BBB"/>
    <w:rsid w:val="005063B4"/>
    <w:rsid w:val="005079B5"/>
    <w:rsid w:val="0051362A"/>
    <w:rsid w:val="00522EE3"/>
    <w:rsid w:val="0052417A"/>
    <w:rsid w:val="0053230F"/>
    <w:rsid w:val="0053488F"/>
    <w:rsid w:val="00536315"/>
    <w:rsid w:val="00540969"/>
    <w:rsid w:val="005421FC"/>
    <w:rsid w:val="005446DB"/>
    <w:rsid w:val="005449AA"/>
    <w:rsid w:val="00546635"/>
    <w:rsid w:val="005468EE"/>
    <w:rsid w:val="00547F9F"/>
    <w:rsid w:val="00550C04"/>
    <w:rsid w:val="00556314"/>
    <w:rsid w:val="005574B3"/>
    <w:rsid w:val="00560726"/>
    <w:rsid w:val="005609C8"/>
    <w:rsid w:val="00560B68"/>
    <w:rsid w:val="005612C7"/>
    <w:rsid w:val="00561A7D"/>
    <w:rsid w:val="00562C54"/>
    <w:rsid w:val="00562E53"/>
    <w:rsid w:val="00564C19"/>
    <w:rsid w:val="00565157"/>
    <w:rsid w:val="00566C08"/>
    <w:rsid w:val="00566CA2"/>
    <w:rsid w:val="005708DF"/>
    <w:rsid w:val="005723F9"/>
    <w:rsid w:val="0057328F"/>
    <w:rsid w:val="00574BF8"/>
    <w:rsid w:val="005806A6"/>
    <w:rsid w:val="005807C4"/>
    <w:rsid w:val="00582982"/>
    <w:rsid w:val="0058364B"/>
    <w:rsid w:val="00584DB9"/>
    <w:rsid w:val="00584F00"/>
    <w:rsid w:val="005850F5"/>
    <w:rsid w:val="00587C89"/>
    <w:rsid w:val="0059717B"/>
    <w:rsid w:val="005A2D2F"/>
    <w:rsid w:val="005A5C83"/>
    <w:rsid w:val="005A6996"/>
    <w:rsid w:val="005A75CD"/>
    <w:rsid w:val="005B4CE8"/>
    <w:rsid w:val="005B7454"/>
    <w:rsid w:val="005C0ACF"/>
    <w:rsid w:val="005C4BC4"/>
    <w:rsid w:val="005D0C40"/>
    <w:rsid w:val="005D437F"/>
    <w:rsid w:val="005E010E"/>
    <w:rsid w:val="005E0C72"/>
    <w:rsid w:val="005E1974"/>
    <w:rsid w:val="005E1E8C"/>
    <w:rsid w:val="005E24AE"/>
    <w:rsid w:val="005F4D96"/>
    <w:rsid w:val="005F5997"/>
    <w:rsid w:val="005F6B07"/>
    <w:rsid w:val="00607C07"/>
    <w:rsid w:val="00614F72"/>
    <w:rsid w:val="00622A6B"/>
    <w:rsid w:val="006252A9"/>
    <w:rsid w:val="00626F52"/>
    <w:rsid w:val="006305BA"/>
    <w:rsid w:val="00630877"/>
    <w:rsid w:val="00630B70"/>
    <w:rsid w:val="00633308"/>
    <w:rsid w:val="006413D6"/>
    <w:rsid w:val="0064227C"/>
    <w:rsid w:val="006435C9"/>
    <w:rsid w:val="00644B52"/>
    <w:rsid w:val="006452CD"/>
    <w:rsid w:val="006541F3"/>
    <w:rsid w:val="00657087"/>
    <w:rsid w:val="00661BFE"/>
    <w:rsid w:val="00665B14"/>
    <w:rsid w:val="00671EAC"/>
    <w:rsid w:val="00674546"/>
    <w:rsid w:val="00684510"/>
    <w:rsid w:val="00684A80"/>
    <w:rsid w:val="0068611F"/>
    <w:rsid w:val="006863D3"/>
    <w:rsid w:val="006875C2"/>
    <w:rsid w:val="006907FD"/>
    <w:rsid w:val="006937F1"/>
    <w:rsid w:val="00693D6D"/>
    <w:rsid w:val="00694B7D"/>
    <w:rsid w:val="00694D39"/>
    <w:rsid w:val="00697BB5"/>
    <w:rsid w:val="006A3CB0"/>
    <w:rsid w:val="006B16C7"/>
    <w:rsid w:val="006B24CC"/>
    <w:rsid w:val="006B44A1"/>
    <w:rsid w:val="006B6B80"/>
    <w:rsid w:val="006B7A22"/>
    <w:rsid w:val="006C27FE"/>
    <w:rsid w:val="006C6444"/>
    <w:rsid w:val="006C69A9"/>
    <w:rsid w:val="006C751B"/>
    <w:rsid w:val="006D1E17"/>
    <w:rsid w:val="006D27CF"/>
    <w:rsid w:val="006D2A45"/>
    <w:rsid w:val="006D5A90"/>
    <w:rsid w:val="006D5E40"/>
    <w:rsid w:val="006D7A12"/>
    <w:rsid w:val="006E0A7C"/>
    <w:rsid w:val="006E13EA"/>
    <w:rsid w:val="006E2CCB"/>
    <w:rsid w:val="006E7FF7"/>
    <w:rsid w:val="006F714E"/>
    <w:rsid w:val="007038F5"/>
    <w:rsid w:val="00706758"/>
    <w:rsid w:val="00707153"/>
    <w:rsid w:val="007125B9"/>
    <w:rsid w:val="0071310A"/>
    <w:rsid w:val="007144FE"/>
    <w:rsid w:val="00715A49"/>
    <w:rsid w:val="00721250"/>
    <w:rsid w:val="00721F12"/>
    <w:rsid w:val="0072398B"/>
    <w:rsid w:val="00725548"/>
    <w:rsid w:val="007269BA"/>
    <w:rsid w:val="00727966"/>
    <w:rsid w:val="00730AE8"/>
    <w:rsid w:val="00736525"/>
    <w:rsid w:val="007403E0"/>
    <w:rsid w:val="0075294E"/>
    <w:rsid w:val="0075351A"/>
    <w:rsid w:val="007553B3"/>
    <w:rsid w:val="00760BD7"/>
    <w:rsid w:val="007620BA"/>
    <w:rsid w:val="00764FF3"/>
    <w:rsid w:val="00766195"/>
    <w:rsid w:val="007667AC"/>
    <w:rsid w:val="00770557"/>
    <w:rsid w:val="0077183A"/>
    <w:rsid w:val="00771DDD"/>
    <w:rsid w:val="007721FC"/>
    <w:rsid w:val="00772339"/>
    <w:rsid w:val="0078133B"/>
    <w:rsid w:val="007826BA"/>
    <w:rsid w:val="00785E79"/>
    <w:rsid w:val="007915AF"/>
    <w:rsid w:val="00791779"/>
    <w:rsid w:val="007950FF"/>
    <w:rsid w:val="007951CB"/>
    <w:rsid w:val="007A26E4"/>
    <w:rsid w:val="007A2F90"/>
    <w:rsid w:val="007A3CA3"/>
    <w:rsid w:val="007A60CB"/>
    <w:rsid w:val="007B0A7D"/>
    <w:rsid w:val="007B58EE"/>
    <w:rsid w:val="007C10FD"/>
    <w:rsid w:val="007C3458"/>
    <w:rsid w:val="007C5061"/>
    <w:rsid w:val="007C6B76"/>
    <w:rsid w:val="007C7C37"/>
    <w:rsid w:val="007C7FEF"/>
    <w:rsid w:val="007D0053"/>
    <w:rsid w:val="007D27CE"/>
    <w:rsid w:val="007D424F"/>
    <w:rsid w:val="007D53ED"/>
    <w:rsid w:val="007D6193"/>
    <w:rsid w:val="007E1384"/>
    <w:rsid w:val="007E307A"/>
    <w:rsid w:val="007E661B"/>
    <w:rsid w:val="007F0D86"/>
    <w:rsid w:val="007F570B"/>
    <w:rsid w:val="007F798A"/>
    <w:rsid w:val="00800EC9"/>
    <w:rsid w:val="008031EC"/>
    <w:rsid w:val="00805A99"/>
    <w:rsid w:val="008106EA"/>
    <w:rsid w:val="00811826"/>
    <w:rsid w:val="00813BAA"/>
    <w:rsid w:val="00813EF5"/>
    <w:rsid w:val="00820C3A"/>
    <w:rsid w:val="0082457A"/>
    <w:rsid w:val="00826BE3"/>
    <w:rsid w:val="00826D09"/>
    <w:rsid w:val="0083185F"/>
    <w:rsid w:val="00834F82"/>
    <w:rsid w:val="00836B27"/>
    <w:rsid w:val="00840673"/>
    <w:rsid w:val="00841E2D"/>
    <w:rsid w:val="008421B7"/>
    <w:rsid w:val="00844822"/>
    <w:rsid w:val="0084603C"/>
    <w:rsid w:val="00846A79"/>
    <w:rsid w:val="00855AAA"/>
    <w:rsid w:val="00862938"/>
    <w:rsid w:val="00866E6F"/>
    <w:rsid w:val="00870461"/>
    <w:rsid w:val="008708BB"/>
    <w:rsid w:val="00870ADB"/>
    <w:rsid w:val="00872947"/>
    <w:rsid w:val="00874E96"/>
    <w:rsid w:val="008762CD"/>
    <w:rsid w:val="008842CF"/>
    <w:rsid w:val="00885359"/>
    <w:rsid w:val="00885444"/>
    <w:rsid w:val="008865C3"/>
    <w:rsid w:val="008876A0"/>
    <w:rsid w:val="00887E47"/>
    <w:rsid w:val="00891A2D"/>
    <w:rsid w:val="00894D88"/>
    <w:rsid w:val="00896162"/>
    <w:rsid w:val="0089722C"/>
    <w:rsid w:val="008974D9"/>
    <w:rsid w:val="0089783D"/>
    <w:rsid w:val="008A009B"/>
    <w:rsid w:val="008A1F14"/>
    <w:rsid w:val="008A2366"/>
    <w:rsid w:val="008A29A2"/>
    <w:rsid w:val="008A5A94"/>
    <w:rsid w:val="008A6798"/>
    <w:rsid w:val="008A7719"/>
    <w:rsid w:val="008B29C2"/>
    <w:rsid w:val="008B45F0"/>
    <w:rsid w:val="008B52DB"/>
    <w:rsid w:val="008B5E73"/>
    <w:rsid w:val="008B62AC"/>
    <w:rsid w:val="008C07D3"/>
    <w:rsid w:val="008C2524"/>
    <w:rsid w:val="008C5996"/>
    <w:rsid w:val="008C6712"/>
    <w:rsid w:val="008C701A"/>
    <w:rsid w:val="008D1155"/>
    <w:rsid w:val="008D2AAE"/>
    <w:rsid w:val="008D3C59"/>
    <w:rsid w:val="008D53C4"/>
    <w:rsid w:val="008D6322"/>
    <w:rsid w:val="008D6B98"/>
    <w:rsid w:val="008E195B"/>
    <w:rsid w:val="008E21C3"/>
    <w:rsid w:val="008E29C7"/>
    <w:rsid w:val="008E2F31"/>
    <w:rsid w:val="008E54B1"/>
    <w:rsid w:val="008E6FE7"/>
    <w:rsid w:val="008F0EC8"/>
    <w:rsid w:val="008F0FBE"/>
    <w:rsid w:val="008F17A7"/>
    <w:rsid w:val="008F18BC"/>
    <w:rsid w:val="008F1C4C"/>
    <w:rsid w:val="008F6CF1"/>
    <w:rsid w:val="008F719F"/>
    <w:rsid w:val="008F78A9"/>
    <w:rsid w:val="008F7A1F"/>
    <w:rsid w:val="009000CC"/>
    <w:rsid w:val="00901F28"/>
    <w:rsid w:val="00905078"/>
    <w:rsid w:val="00910386"/>
    <w:rsid w:val="009106F8"/>
    <w:rsid w:val="00914825"/>
    <w:rsid w:val="00914ECC"/>
    <w:rsid w:val="00915409"/>
    <w:rsid w:val="00916DD9"/>
    <w:rsid w:val="00920277"/>
    <w:rsid w:val="00922678"/>
    <w:rsid w:val="009301F5"/>
    <w:rsid w:val="009305EE"/>
    <w:rsid w:val="00933714"/>
    <w:rsid w:val="00936DA2"/>
    <w:rsid w:val="009405F4"/>
    <w:rsid w:val="009410DB"/>
    <w:rsid w:val="00947E08"/>
    <w:rsid w:val="00950491"/>
    <w:rsid w:val="0095158F"/>
    <w:rsid w:val="00953BEE"/>
    <w:rsid w:val="00961705"/>
    <w:rsid w:val="009703FA"/>
    <w:rsid w:val="00970C5E"/>
    <w:rsid w:val="00975769"/>
    <w:rsid w:val="009766D4"/>
    <w:rsid w:val="0098281F"/>
    <w:rsid w:val="009833CF"/>
    <w:rsid w:val="00983D0E"/>
    <w:rsid w:val="009852E6"/>
    <w:rsid w:val="009968C5"/>
    <w:rsid w:val="00997D8A"/>
    <w:rsid w:val="009A0090"/>
    <w:rsid w:val="009A252B"/>
    <w:rsid w:val="009A4057"/>
    <w:rsid w:val="009A529A"/>
    <w:rsid w:val="009B187C"/>
    <w:rsid w:val="009B5BF8"/>
    <w:rsid w:val="009B69DE"/>
    <w:rsid w:val="009B7FA8"/>
    <w:rsid w:val="009C02DF"/>
    <w:rsid w:val="009C0919"/>
    <w:rsid w:val="009C18B7"/>
    <w:rsid w:val="009C1CE7"/>
    <w:rsid w:val="009D143C"/>
    <w:rsid w:val="009D267B"/>
    <w:rsid w:val="009D310B"/>
    <w:rsid w:val="009D7A30"/>
    <w:rsid w:val="009E1C5B"/>
    <w:rsid w:val="009E3207"/>
    <w:rsid w:val="009E407F"/>
    <w:rsid w:val="009E4694"/>
    <w:rsid w:val="009E4F17"/>
    <w:rsid w:val="009E6AB4"/>
    <w:rsid w:val="009F0AF1"/>
    <w:rsid w:val="009F3EAE"/>
    <w:rsid w:val="00A01C15"/>
    <w:rsid w:val="00A022C7"/>
    <w:rsid w:val="00A045E5"/>
    <w:rsid w:val="00A04ED8"/>
    <w:rsid w:val="00A05270"/>
    <w:rsid w:val="00A064CA"/>
    <w:rsid w:val="00A13864"/>
    <w:rsid w:val="00A167FD"/>
    <w:rsid w:val="00A252E5"/>
    <w:rsid w:val="00A27A85"/>
    <w:rsid w:val="00A31AF0"/>
    <w:rsid w:val="00A33826"/>
    <w:rsid w:val="00A35BCF"/>
    <w:rsid w:val="00A43356"/>
    <w:rsid w:val="00A43ECF"/>
    <w:rsid w:val="00A44585"/>
    <w:rsid w:val="00A46B0E"/>
    <w:rsid w:val="00A55EFB"/>
    <w:rsid w:val="00A6188C"/>
    <w:rsid w:val="00A66652"/>
    <w:rsid w:val="00A702AB"/>
    <w:rsid w:val="00A74E6D"/>
    <w:rsid w:val="00A754F4"/>
    <w:rsid w:val="00A80B02"/>
    <w:rsid w:val="00A8228F"/>
    <w:rsid w:val="00A82F73"/>
    <w:rsid w:val="00A91365"/>
    <w:rsid w:val="00A93936"/>
    <w:rsid w:val="00A93AE0"/>
    <w:rsid w:val="00A944CE"/>
    <w:rsid w:val="00A9610C"/>
    <w:rsid w:val="00AA1E5F"/>
    <w:rsid w:val="00AA3D10"/>
    <w:rsid w:val="00AA5D70"/>
    <w:rsid w:val="00AA64DD"/>
    <w:rsid w:val="00AA6621"/>
    <w:rsid w:val="00AA6801"/>
    <w:rsid w:val="00AB1ACC"/>
    <w:rsid w:val="00AB45CB"/>
    <w:rsid w:val="00AB66C2"/>
    <w:rsid w:val="00AB6E01"/>
    <w:rsid w:val="00AB778D"/>
    <w:rsid w:val="00AC1FB7"/>
    <w:rsid w:val="00AC2D5F"/>
    <w:rsid w:val="00AC3BAD"/>
    <w:rsid w:val="00AC6682"/>
    <w:rsid w:val="00AD125C"/>
    <w:rsid w:val="00AD40DA"/>
    <w:rsid w:val="00AD45E9"/>
    <w:rsid w:val="00AD5549"/>
    <w:rsid w:val="00AD560F"/>
    <w:rsid w:val="00AE021C"/>
    <w:rsid w:val="00AE0CAD"/>
    <w:rsid w:val="00AE1180"/>
    <w:rsid w:val="00AE1A1C"/>
    <w:rsid w:val="00AE25AA"/>
    <w:rsid w:val="00AE2DA4"/>
    <w:rsid w:val="00AE3DB7"/>
    <w:rsid w:val="00AF0264"/>
    <w:rsid w:val="00AF2816"/>
    <w:rsid w:val="00B0187A"/>
    <w:rsid w:val="00B0397C"/>
    <w:rsid w:val="00B05F85"/>
    <w:rsid w:val="00B06990"/>
    <w:rsid w:val="00B134B9"/>
    <w:rsid w:val="00B135F2"/>
    <w:rsid w:val="00B1485D"/>
    <w:rsid w:val="00B21608"/>
    <w:rsid w:val="00B21CFC"/>
    <w:rsid w:val="00B24000"/>
    <w:rsid w:val="00B26F75"/>
    <w:rsid w:val="00B325FF"/>
    <w:rsid w:val="00B353E3"/>
    <w:rsid w:val="00B402CC"/>
    <w:rsid w:val="00B40B0C"/>
    <w:rsid w:val="00B4308C"/>
    <w:rsid w:val="00B457AC"/>
    <w:rsid w:val="00B55D03"/>
    <w:rsid w:val="00B57466"/>
    <w:rsid w:val="00B62186"/>
    <w:rsid w:val="00B6415B"/>
    <w:rsid w:val="00B71825"/>
    <w:rsid w:val="00B76C6B"/>
    <w:rsid w:val="00B77C15"/>
    <w:rsid w:val="00B83DAB"/>
    <w:rsid w:val="00B8704B"/>
    <w:rsid w:val="00B928F3"/>
    <w:rsid w:val="00B97383"/>
    <w:rsid w:val="00BA05AB"/>
    <w:rsid w:val="00BA3586"/>
    <w:rsid w:val="00BA64AD"/>
    <w:rsid w:val="00BB002B"/>
    <w:rsid w:val="00BB4281"/>
    <w:rsid w:val="00BB50A1"/>
    <w:rsid w:val="00BC3B16"/>
    <w:rsid w:val="00BD0904"/>
    <w:rsid w:val="00BD1AF1"/>
    <w:rsid w:val="00BD44B6"/>
    <w:rsid w:val="00BD4AE6"/>
    <w:rsid w:val="00BD6F46"/>
    <w:rsid w:val="00BE0E55"/>
    <w:rsid w:val="00BE244C"/>
    <w:rsid w:val="00BE41E5"/>
    <w:rsid w:val="00BE4BC2"/>
    <w:rsid w:val="00BE69CA"/>
    <w:rsid w:val="00BE77EA"/>
    <w:rsid w:val="00BE7B94"/>
    <w:rsid w:val="00BF2428"/>
    <w:rsid w:val="00BF3F7C"/>
    <w:rsid w:val="00C01A6E"/>
    <w:rsid w:val="00C03103"/>
    <w:rsid w:val="00C035B9"/>
    <w:rsid w:val="00C119D7"/>
    <w:rsid w:val="00C13B52"/>
    <w:rsid w:val="00C1548B"/>
    <w:rsid w:val="00C16460"/>
    <w:rsid w:val="00C20AC7"/>
    <w:rsid w:val="00C23C36"/>
    <w:rsid w:val="00C2591A"/>
    <w:rsid w:val="00C2660A"/>
    <w:rsid w:val="00C332A4"/>
    <w:rsid w:val="00C35882"/>
    <w:rsid w:val="00C4004E"/>
    <w:rsid w:val="00C40950"/>
    <w:rsid w:val="00C40EC2"/>
    <w:rsid w:val="00C41741"/>
    <w:rsid w:val="00C47D83"/>
    <w:rsid w:val="00C51117"/>
    <w:rsid w:val="00C51153"/>
    <w:rsid w:val="00C54C28"/>
    <w:rsid w:val="00C553F4"/>
    <w:rsid w:val="00C556CC"/>
    <w:rsid w:val="00C56ECD"/>
    <w:rsid w:val="00C61A87"/>
    <w:rsid w:val="00C628E3"/>
    <w:rsid w:val="00C6306B"/>
    <w:rsid w:val="00C664FB"/>
    <w:rsid w:val="00C74598"/>
    <w:rsid w:val="00C74C0E"/>
    <w:rsid w:val="00C75AB7"/>
    <w:rsid w:val="00C765DA"/>
    <w:rsid w:val="00C76F8A"/>
    <w:rsid w:val="00C77B3A"/>
    <w:rsid w:val="00C81A96"/>
    <w:rsid w:val="00C83F71"/>
    <w:rsid w:val="00C932F1"/>
    <w:rsid w:val="00C93A1D"/>
    <w:rsid w:val="00C93F47"/>
    <w:rsid w:val="00C94AD3"/>
    <w:rsid w:val="00C96F7F"/>
    <w:rsid w:val="00CA2A49"/>
    <w:rsid w:val="00CA3E61"/>
    <w:rsid w:val="00CA4C0B"/>
    <w:rsid w:val="00CA5AA3"/>
    <w:rsid w:val="00CB2006"/>
    <w:rsid w:val="00CB51DD"/>
    <w:rsid w:val="00CB5802"/>
    <w:rsid w:val="00CC27D6"/>
    <w:rsid w:val="00CC6EEC"/>
    <w:rsid w:val="00CD10D5"/>
    <w:rsid w:val="00CD41BF"/>
    <w:rsid w:val="00CD6E5F"/>
    <w:rsid w:val="00CE7C48"/>
    <w:rsid w:val="00CF2FBF"/>
    <w:rsid w:val="00CF349A"/>
    <w:rsid w:val="00CF557F"/>
    <w:rsid w:val="00D00A19"/>
    <w:rsid w:val="00D02069"/>
    <w:rsid w:val="00D03503"/>
    <w:rsid w:val="00D069B4"/>
    <w:rsid w:val="00D06A19"/>
    <w:rsid w:val="00D14DD6"/>
    <w:rsid w:val="00D157FC"/>
    <w:rsid w:val="00D175D0"/>
    <w:rsid w:val="00D20006"/>
    <w:rsid w:val="00D2030D"/>
    <w:rsid w:val="00D2109A"/>
    <w:rsid w:val="00D334EA"/>
    <w:rsid w:val="00D341E4"/>
    <w:rsid w:val="00D36919"/>
    <w:rsid w:val="00D37324"/>
    <w:rsid w:val="00D379C9"/>
    <w:rsid w:val="00D45445"/>
    <w:rsid w:val="00D46028"/>
    <w:rsid w:val="00D47333"/>
    <w:rsid w:val="00D50621"/>
    <w:rsid w:val="00D50FE6"/>
    <w:rsid w:val="00D521D0"/>
    <w:rsid w:val="00D6101B"/>
    <w:rsid w:val="00D62F08"/>
    <w:rsid w:val="00D6494E"/>
    <w:rsid w:val="00D64BCF"/>
    <w:rsid w:val="00D70A30"/>
    <w:rsid w:val="00D71F4A"/>
    <w:rsid w:val="00D72761"/>
    <w:rsid w:val="00D82010"/>
    <w:rsid w:val="00D83C6F"/>
    <w:rsid w:val="00D86137"/>
    <w:rsid w:val="00D879A9"/>
    <w:rsid w:val="00D900D2"/>
    <w:rsid w:val="00D92447"/>
    <w:rsid w:val="00D93FDF"/>
    <w:rsid w:val="00D95198"/>
    <w:rsid w:val="00D95767"/>
    <w:rsid w:val="00D97480"/>
    <w:rsid w:val="00D97A93"/>
    <w:rsid w:val="00DA1EEC"/>
    <w:rsid w:val="00DA4741"/>
    <w:rsid w:val="00DA62BA"/>
    <w:rsid w:val="00DB18F0"/>
    <w:rsid w:val="00DB4299"/>
    <w:rsid w:val="00DB4C7A"/>
    <w:rsid w:val="00DB6C7B"/>
    <w:rsid w:val="00DC1E9B"/>
    <w:rsid w:val="00DC2E7A"/>
    <w:rsid w:val="00DC4FFA"/>
    <w:rsid w:val="00DC555F"/>
    <w:rsid w:val="00DC6D34"/>
    <w:rsid w:val="00DC70D3"/>
    <w:rsid w:val="00DD5F95"/>
    <w:rsid w:val="00DE0B23"/>
    <w:rsid w:val="00DE29F7"/>
    <w:rsid w:val="00DE3062"/>
    <w:rsid w:val="00DE64CD"/>
    <w:rsid w:val="00DF217C"/>
    <w:rsid w:val="00DF4EDE"/>
    <w:rsid w:val="00DF6A6F"/>
    <w:rsid w:val="00E02C93"/>
    <w:rsid w:val="00E05577"/>
    <w:rsid w:val="00E07314"/>
    <w:rsid w:val="00E078E5"/>
    <w:rsid w:val="00E132F6"/>
    <w:rsid w:val="00E14FDB"/>
    <w:rsid w:val="00E1772E"/>
    <w:rsid w:val="00E205B2"/>
    <w:rsid w:val="00E2333F"/>
    <w:rsid w:val="00E2368A"/>
    <w:rsid w:val="00E2643E"/>
    <w:rsid w:val="00E27055"/>
    <w:rsid w:val="00E27714"/>
    <w:rsid w:val="00E30284"/>
    <w:rsid w:val="00E30F82"/>
    <w:rsid w:val="00E31156"/>
    <w:rsid w:val="00E3115F"/>
    <w:rsid w:val="00E31709"/>
    <w:rsid w:val="00E34234"/>
    <w:rsid w:val="00E35465"/>
    <w:rsid w:val="00E35706"/>
    <w:rsid w:val="00E43AB7"/>
    <w:rsid w:val="00E445D6"/>
    <w:rsid w:val="00E46497"/>
    <w:rsid w:val="00E4720B"/>
    <w:rsid w:val="00E47D63"/>
    <w:rsid w:val="00E512C1"/>
    <w:rsid w:val="00E5195B"/>
    <w:rsid w:val="00E60025"/>
    <w:rsid w:val="00E62ECE"/>
    <w:rsid w:val="00E669F9"/>
    <w:rsid w:val="00E7069A"/>
    <w:rsid w:val="00E8174E"/>
    <w:rsid w:val="00E81829"/>
    <w:rsid w:val="00E84E98"/>
    <w:rsid w:val="00E8560C"/>
    <w:rsid w:val="00E86FF5"/>
    <w:rsid w:val="00E9070E"/>
    <w:rsid w:val="00E9141A"/>
    <w:rsid w:val="00E91622"/>
    <w:rsid w:val="00E91D54"/>
    <w:rsid w:val="00E932F4"/>
    <w:rsid w:val="00E953C7"/>
    <w:rsid w:val="00E96540"/>
    <w:rsid w:val="00EA12A6"/>
    <w:rsid w:val="00EA3D81"/>
    <w:rsid w:val="00EA6BA2"/>
    <w:rsid w:val="00EA7CCF"/>
    <w:rsid w:val="00EB50B3"/>
    <w:rsid w:val="00EC37ED"/>
    <w:rsid w:val="00EC3CBC"/>
    <w:rsid w:val="00ED4A2E"/>
    <w:rsid w:val="00ED75FA"/>
    <w:rsid w:val="00ED7CA4"/>
    <w:rsid w:val="00EE1C21"/>
    <w:rsid w:val="00EE1D76"/>
    <w:rsid w:val="00EE2D89"/>
    <w:rsid w:val="00EE4424"/>
    <w:rsid w:val="00EE52BA"/>
    <w:rsid w:val="00EE5B9C"/>
    <w:rsid w:val="00EE6484"/>
    <w:rsid w:val="00EE6BB2"/>
    <w:rsid w:val="00EF3083"/>
    <w:rsid w:val="00F01526"/>
    <w:rsid w:val="00F018BF"/>
    <w:rsid w:val="00F020F2"/>
    <w:rsid w:val="00F02FCB"/>
    <w:rsid w:val="00F03012"/>
    <w:rsid w:val="00F0325D"/>
    <w:rsid w:val="00F1061C"/>
    <w:rsid w:val="00F1408C"/>
    <w:rsid w:val="00F1498A"/>
    <w:rsid w:val="00F15257"/>
    <w:rsid w:val="00F20E09"/>
    <w:rsid w:val="00F25BC1"/>
    <w:rsid w:val="00F27662"/>
    <w:rsid w:val="00F303CE"/>
    <w:rsid w:val="00F3399B"/>
    <w:rsid w:val="00F36E68"/>
    <w:rsid w:val="00F3791A"/>
    <w:rsid w:val="00F37DA6"/>
    <w:rsid w:val="00F40236"/>
    <w:rsid w:val="00F40E4E"/>
    <w:rsid w:val="00F4185E"/>
    <w:rsid w:val="00F444F8"/>
    <w:rsid w:val="00F45A96"/>
    <w:rsid w:val="00F46CAE"/>
    <w:rsid w:val="00F50212"/>
    <w:rsid w:val="00F52959"/>
    <w:rsid w:val="00F546DA"/>
    <w:rsid w:val="00F54DA6"/>
    <w:rsid w:val="00F60985"/>
    <w:rsid w:val="00F62F5C"/>
    <w:rsid w:val="00F64A47"/>
    <w:rsid w:val="00F64B81"/>
    <w:rsid w:val="00F6599F"/>
    <w:rsid w:val="00F66204"/>
    <w:rsid w:val="00F6637A"/>
    <w:rsid w:val="00F70D11"/>
    <w:rsid w:val="00F710D2"/>
    <w:rsid w:val="00F72FC3"/>
    <w:rsid w:val="00F7659E"/>
    <w:rsid w:val="00F779A0"/>
    <w:rsid w:val="00F80832"/>
    <w:rsid w:val="00F82992"/>
    <w:rsid w:val="00F87183"/>
    <w:rsid w:val="00F87E2A"/>
    <w:rsid w:val="00F93424"/>
    <w:rsid w:val="00F96058"/>
    <w:rsid w:val="00FA00C6"/>
    <w:rsid w:val="00FA3299"/>
    <w:rsid w:val="00FA34E9"/>
    <w:rsid w:val="00FA4470"/>
    <w:rsid w:val="00FA5C80"/>
    <w:rsid w:val="00FA6881"/>
    <w:rsid w:val="00FB1C7C"/>
    <w:rsid w:val="00FB3538"/>
    <w:rsid w:val="00FB7FCE"/>
    <w:rsid w:val="00FC15D9"/>
    <w:rsid w:val="00FC56AE"/>
    <w:rsid w:val="00FC77BC"/>
    <w:rsid w:val="00FD6B69"/>
    <w:rsid w:val="00FD7E09"/>
    <w:rsid w:val="00FE0447"/>
    <w:rsid w:val="00FE0651"/>
    <w:rsid w:val="00FE3098"/>
    <w:rsid w:val="00FE642E"/>
    <w:rsid w:val="00FE7113"/>
    <w:rsid w:val="00FF1DF0"/>
    <w:rsid w:val="00FF21AB"/>
    <w:rsid w:val="00FF419F"/>
    <w:rsid w:val="00FF4D8E"/>
    <w:rsid w:val="00FF530E"/>
    <w:rsid w:val="028F6A00"/>
    <w:rsid w:val="02A14D0C"/>
    <w:rsid w:val="02F42F4F"/>
    <w:rsid w:val="04F008D5"/>
    <w:rsid w:val="059021BB"/>
    <w:rsid w:val="096A522F"/>
    <w:rsid w:val="0AF55A84"/>
    <w:rsid w:val="0C2911C2"/>
    <w:rsid w:val="0DF20D99"/>
    <w:rsid w:val="0E6A5A9E"/>
    <w:rsid w:val="10DA2E8D"/>
    <w:rsid w:val="11620842"/>
    <w:rsid w:val="12325697"/>
    <w:rsid w:val="13695C65"/>
    <w:rsid w:val="143F3EAD"/>
    <w:rsid w:val="15520AB8"/>
    <w:rsid w:val="179843E1"/>
    <w:rsid w:val="17B67AB6"/>
    <w:rsid w:val="18E632B9"/>
    <w:rsid w:val="1BA707B4"/>
    <w:rsid w:val="1F2E0FBA"/>
    <w:rsid w:val="1FBB045E"/>
    <w:rsid w:val="207D1F7B"/>
    <w:rsid w:val="21763254"/>
    <w:rsid w:val="22E40F0D"/>
    <w:rsid w:val="23A862F2"/>
    <w:rsid w:val="2726744D"/>
    <w:rsid w:val="27986A8E"/>
    <w:rsid w:val="2A26299C"/>
    <w:rsid w:val="2A7D40F3"/>
    <w:rsid w:val="2B5645A1"/>
    <w:rsid w:val="2C707DA6"/>
    <w:rsid w:val="2CF7772D"/>
    <w:rsid w:val="2F8C5B15"/>
    <w:rsid w:val="2FDD2267"/>
    <w:rsid w:val="312A00F3"/>
    <w:rsid w:val="32C364F0"/>
    <w:rsid w:val="34670756"/>
    <w:rsid w:val="37647AC0"/>
    <w:rsid w:val="3D9D6E1D"/>
    <w:rsid w:val="3E7706FB"/>
    <w:rsid w:val="408928B0"/>
    <w:rsid w:val="41433DB2"/>
    <w:rsid w:val="42BB55F3"/>
    <w:rsid w:val="43205B98"/>
    <w:rsid w:val="43D05766"/>
    <w:rsid w:val="4472461E"/>
    <w:rsid w:val="463B7A6F"/>
    <w:rsid w:val="474A494A"/>
    <w:rsid w:val="47AB659D"/>
    <w:rsid w:val="48DD694E"/>
    <w:rsid w:val="4B45544A"/>
    <w:rsid w:val="4DE370AA"/>
    <w:rsid w:val="4E0A0D3A"/>
    <w:rsid w:val="4F9048FB"/>
    <w:rsid w:val="58A9580F"/>
    <w:rsid w:val="5AA4451C"/>
    <w:rsid w:val="5BDE4F7F"/>
    <w:rsid w:val="5E051580"/>
    <w:rsid w:val="5E200D77"/>
    <w:rsid w:val="5FA265E7"/>
    <w:rsid w:val="60A11354"/>
    <w:rsid w:val="619A7DC6"/>
    <w:rsid w:val="675A05C7"/>
    <w:rsid w:val="676213FE"/>
    <w:rsid w:val="68050EA4"/>
    <w:rsid w:val="680F7AAA"/>
    <w:rsid w:val="69F722CA"/>
    <w:rsid w:val="6BB90AD3"/>
    <w:rsid w:val="70804171"/>
    <w:rsid w:val="72B85AAF"/>
    <w:rsid w:val="75A1331B"/>
    <w:rsid w:val="75B72324"/>
    <w:rsid w:val="7CCB0BE4"/>
    <w:rsid w:val="7D9071CE"/>
    <w:rsid w:val="7DFF77EA"/>
    <w:rsid w:val="7E333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autoSpaceDE w:val="0"/>
      <w:autoSpaceDN w:val="0"/>
      <w:adjustRightInd w:val="0"/>
      <w:jc w:val="left"/>
      <w:outlineLvl w:val="0"/>
    </w:pPr>
    <w:rPr>
      <w:rFonts w:ascii="仿宋_GB2312" w:eastAsia="仿宋_GB2312"/>
      <w:b/>
      <w:bCs/>
      <w:color w:val="000000"/>
      <w:kern w:val="0"/>
      <w:sz w:val="20"/>
      <w:szCs w:val="20"/>
    </w:rPr>
  </w:style>
  <w:style w:type="paragraph" w:styleId="3">
    <w:name w:val="heading 2"/>
    <w:basedOn w:val="1"/>
    <w:next w:val="1"/>
    <w:link w:val="72"/>
    <w:qFormat/>
    <w:uiPriority w:val="0"/>
    <w:pPr>
      <w:keepNext/>
      <w:keepLines/>
      <w:spacing w:before="120" w:after="120" w:line="360" w:lineRule="auto"/>
      <w:jc w:val="center"/>
      <w:outlineLvl w:val="1"/>
    </w:pPr>
    <w:rPr>
      <w:rFonts w:ascii="Arial" w:hAnsi="Arial"/>
      <w:b/>
      <w:bCs/>
      <w:kern w:val="0"/>
      <w:sz w:val="32"/>
      <w:szCs w:val="32"/>
    </w:rPr>
  </w:style>
  <w:style w:type="paragraph" w:styleId="4">
    <w:name w:val="heading 3"/>
    <w:basedOn w:val="1"/>
    <w:next w:val="1"/>
    <w:link w:val="73"/>
    <w:qFormat/>
    <w:uiPriority w:val="0"/>
    <w:pPr>
      <w:keepNext/>
      <w:keepLines/>
      <w:spacing w:before="120" w:after="120" w:line="360" w:lineRule="auto"/>
      <w:ind w:firstLine="200" w:firstLineChars="200"/>
      <w:jc w:val="center"/>
      <w:outlineLvl w:val="2"/>
    </w:pPr>
    <w:rPr>
      <w:rFonts w:ascii="宋体"/>
      <w:b/>
      <w:bCs/>
      <w:kern w:val="0"/>
      <w:sz w:val="32"/>
      <w:szCs w:val="32"/>
    </w:rPr>
  </w:style>
  <w:style w:type="paragraph" w:styleId="5">
    <w:name w:val="heading 4"/>
    <w:basedOn w:val="1"/>
    <w:next w:val="1"/>
    <w:link w:val="7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5"/>
    <w:qFormat/>
    <w:uiPriority w:val="0"/>
    <w:pPr>
      <w:keepNext/>
      <w:keepLines/>
      <w:adjustRightInd w:val="0"/>
      <w:spacing w:before="280" w:after="290" w:line="376" w:lineRule="atLeast"/>
      <w:ind w:left="2125" w:hanging="425"/>
      <w:textAlignment w:val="baseline"/>
      <w:outlineLvl w:val="4"/>
    </w:pPr>
    <w:rPr>
      <w:b/>
      <w:kern w:val="0"/>
      <w:sz w:val="24"/>
    </w:rPr>
  </w:style>
  <w:style w:type="paragraph" w:styleId="7">
    <w:name w:val="heading 6"/>
    <w:basedOn w:val="1"/>
    <w:next w:val="1"/>
    <w:link w:val="211"/>
    <w:qFormat/>
    <w:uiPriority w:val="0"/>
    <w:pPr>
      <w:widowControl/>
      <w:spacing w:before="240" w:after="60" w:line="360" w:lineRule="auto"/>
      <w:ind w:firstLine="420" w:firstLineChars="200"/>
      <w:jc w:val="left"/>
      <w:outlineLvl w:val="5"/>
    </w:pPr>
    <w:rPr>
      <w:rFonts w:ascii="仿宋_GB2312" w:hAnsi="宋体" w:eastAsia="仿宋_GB2312"/>
      <w:b/>
      <w:bCs/>
      <w:kern w:val="0"/>
      <w:sz w:val="22"/>
      <w:szCs w:val="22"/>
      <w:lang w:bidi="en-US"/>
    </w:rPr>
  </w:style>
  <w:style w:type="paragraph" w:styleId="8">
    <w:name w:val="heading 7"/>
    <w:basedOn w:val="1"/>
    <w:next w:val="1"/>
    <w:link w:val="212"/>
    <w:qFormat/>
    <w:uiPriority w:val="0"/>
    <w:pPr>
      <w:widowControl/>
      <w:spacing w:before="240" w:after="60" w:line="360" w:lineRule="auto"/>
      <w:ind w:firstLine="420" w:firstLineChars="200"/>
      <w:jc w:val="left"/>
      <w:outlineLvl w:val="6"/>
    </w:pPr>
    <w:rPr>
      <w:rFonts w:ascii="仿宋_GB2312" w:hAnsi="宋体" w:eastAsia="仿宋_GB2312"/>
      <w:kern w:val="0"/>
      <w:szCs w:val="21"/>
      <w:lang w:bidi="en-US"/>
    </w:rPr>
  </w:style>
  <w:style w:type="paragraph" w:styleId="9">
    <w:name w:val="heading 8"/>
    <w:basedOn w:val="1"/>
    <w:next w:val="1"/>
    <w:link w:val="213"/>
    <w:qFormat/>
    <w:uiPriority w:val="0"/>
    <w:pPr>
      <w:widowControl/>
      <w:spacing w:before="240" w:after="60" w:line="360" w:lineRule="auto"/>
      <w:ind w:firstLine="420" w:firstLineChars="200"/>
      <w:jc w:val="left"/>
      <w:outlineLvl w:val="7"/>
    </w:pPr>
    <w:rPr>
      <w:rFonts w:ascii="仿宋_GB2312" w:hAnsi="宋体" w:eastAsia="仿宋_GB2312"/>
      <w:i/>
      <w:iCs/>
      <w:kern w:val="0"/>
      <w:szCs w:val="21"/>
      <w:lang w:bidi="en-US"/>
    </w:rPr>
  </w:style>
  <w:style w:type="paragraph" w:styleId="10">
    <w:name w:val="heading 9"/>
    <w:basedOn w:val="1"/>
    <w:next w:val="1"/>
    <w:link w:val="214"/>
    <w:qFormat/>
    <w:uiPriority w:val="0"/>
    <w:pPr>
      <w:widowControl/>
      <w:spacing w:before="240" w:after="60" w:line="360" w:lineRule="auto"/>
      <w:ind w:firstLine="420" w:firstLineChars="200"/>
      <w:jc w:val="left"/>
      <w:outlineLvl w:val="8"/>
    </w:pPr>
    <w:rPr>
      <w:rFonts w:ascii="Cambria" w:hAnsi="Cambria"/>
      <w:kern w:val="0"/>
      <w:sz w:val="22"/>
      <w:szCs w:val="22"/>
      <w:lang w:bidi="en-US"/>
    </w:rPr>
  </w:style>
  <w:style w:type="character" w:default="1" w:styleId="63">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260" w:hanging="420"/>
    </w:pPr>
    <w:rPr>
      <w:szCs w:val="20"/>
    </w:rPr>
  </w:style>
  <w:style w:type="paragraph" w:styleId="12">
    <w:name w:val="toc 7"/>
    <w:basedOn w:val="1"/>
    <w:next w:val="1"/>
    <w:qFormat/>
    <w:uiPriority w:val="39"/>
    <w:pPr>
      <w:ind w:left="1200" w:leftChars="1200"/>
    </w:pPr>
  </w:style>
  <w:style w:type="paragraph" w:styleId="13">
    <w:name w:val="Note Heading"/>
    <w:basedOn w:val="1"/>
    <w:next w:val="1"/>
    <w:link w:val="317"/>
    <w:qFormat/>
    <w:uiPriority w:val="0"/>
    <w:pPr>
      <w:widowControl/>
      <w:spacing w:after="200" w:line="276" w:lineRule="auto"/>
      <w:jc w:val="center"/>
    </w:pPr>
    <w:rPr>
      <w:rFonts w:ascii="Calibri" w:hAnsi="Calibri"/>
      <w:sz w:val="24"/>
      <w:lang w:eastAsia="en-US"/>
    </w:rPr>
  </w:style>
  <w:style w:type="paragraph" w:styleId="14">
    <w:name w:val="List Bullet 4"/>
    <w:basedOn w:val="1"/>
    <w:qFormat/>
    <w:uiPriority w:val="0"/>
    <w:pPr>
      <w:numPr>
        <w:ilvl w:val="0"/>
        <w:numId w:val="1"/>
      </w:numPr>
      <w:ind w:firstLine="0"/>
    </w:pPr>
  </w:style>
  <w:style w:type="paragraph" w:styleId="15">
    <w:name w:val="Normal Indent"/>
    <w:basedOn w:val="1"/>
    <w:link w:val="196"/>
    <w:qFormat/>
    <w:uiPriority w:val="0"/>
    <w:pPr>
      <w:tabs>
        <w:tab w:val="left" w:pos="750"/>
      </w:tabs>
      <w:spacing w:beforeLines="50" w:line="300" w:lineRule="auto"/>
      <w:ind w:firstLine="200" w:firstLineChars="200"/>
    </w:pPr>
    <w:rPr>
      <w:rFonts w:ascii="宋体"/>
      <w:szCs w:val="20"/>
    </w:rPr>
  </w:style>
  <w:style w:type="paragraph" w:styleId="16">
    <w:name w:val="caption"/>
    <w:basedOn w:val="1"/>
    <w:next w:val="1"/>
    <w:link w:val="76"/>
    <w:qFormat/>
    <w:uiPriority w:val="99"/>
    <w:pPr>
      <w:spacing w:line="300" w:lineRule="auto"/>
    </w:pPr>
    <w:rPr>
      <w:rFonts w:ascii="Cambria" w:hAnsi="Cambria" w:eastAsia="黑体"/>
      <w:kern w:val="0"/>
      <w:sz w:val="20"/>
      <w:szCs w:val="20"/>
    </w:rPr>
  </w:style>
  <w:style w:type="paragraph" w:styleId="17">
    <w:name w:val="List Bullet"/>
    <w:basedOn w:val="1"/>
    <w:qFormat/>
    <w:uiPriority w:val="99"/>
    <w:pPr>
      <w:tabs>
        <w:tab w:val="left" w:pos="900"/>
      </w:tabs>
      <w:adjustRightInd w:val="0"/>
      <w:spacing w:line="360" w:lineRule="atLeast"/>
      <w:ind w:left="900" w:hanging="900"/>
      <w:jc w:val="left"/>
      <w:textAlignment w:val="baseline"/>
    </w:pPr>
    <w:rPr>
      <w:rFonts w:ascii="仿宋_GB2312"/>
      <w:kern w:val="0"/>
      <w:sz w:val="18"/>
      <w:szCs w:val="20"/>
    </w:rPr>
  </w:style>
  <w:style w:type="paragraph" w:styleId="18">
    <w:name w:val="Document Map"/>
    <w:basedOn w:val="1"/>
    <w:link w:val="91"/>
    <w:qFormat/>
    <w:uiPriority w:val="0"/>
    <w:pPr>
      <w:shd w:val="clear" w:color="auto" w:fill="000080"/>
    </w:pPr>
    <w:rPr>
      <w:kern w:val="0"/>
      <w:sz w:val="24"/>
      <w:shd w:val="clear" w:color="auto" w:fill="000080"/>
    </w:rPr>
  </w:style>
  <w:style w:type="paragraph" w:styleId="19">
    <w:name w:val="toa heading"/>
    <w:basedOn w:val="1"/>
    <w:next w:val="1"/>
    <w:qFormat/>
    <w:uiPriority w:val="99"/>
    <w:pPr>
      <w:spacing w:before="120"/>
    </w:pPr>
    <w:rPr>
      <w:rFonts w:ascii="Arial" w:hAnsi="Arial" w:cs="Arial"/>
      <w:sz w:val="24"/>
    </w:rPr>
  </w:style>
  <w:style w:type="paragraph" w:styleId="20">
    <w:name w:val="annotation text"/>
    <w:basedOn w:val="1"/>
    <w:link w:val="108"/>
    <w:qFormat/>
    <w:uiPriority w:val="0"/>
    <w:pPr>
      <w:jc w:val="left"/>
    </w:pPr>
    <w:rPr>
      <w:kern w:val="0"/>
      <w:sz w:val="24"/>
    </w:rPr>
  </w:style>
  <w:style w:type="paragraph" w:styleId="21">
    <w:name w:val="Body Text 3"/>
    <w:basedOn w:val="1"/>
    <w:link w:val="191"/>
    <w:qFormat/>
    <w:uiPriority w:val="0"/>
    <w:pPr>
      <w:jc w:val="center"/>
    </w:pPr>
    <w:rPr>
      <w:rFonts w:ascii="宋体" w:hAnsi="宋体"/>
      <w:b/>
      <w:spacing w:val="60"/>
      <w:sz w:val="44"/>
      <w:szCs w:val="72"/>
    </w:rPr>
  </w:style>
  <w:style w:type="paragraph" w:styleId="22">
    <w:name w:val="List Bullet 3"/>
    <w:basedOn w:val="1"/>
    <w:qFormat/>
    <w:uiPriority w:val="0"/>
    <w:pPr>
      <w:tabs>
        <w:tab w:val="left" w:pos="840"/>
        <w:tab w:val="left" w:pos="1200"/>
      </w:tabs>
      <w:spacing w:line="360" w:lineRule="auto"/>
      <w:ind w:left="420"/>
    </w:pPr>
    <w:rPr>
      <w:rFonts w:ascii="宋体" w:hAnsi="宋体"/>
      <w:sz w:val="24"/>
      <w:szCs w:val="20"/>
    </w:rPr>
  </w:style>
  <w:style w:type="paragraph" w:styleId="23">
    <w:name w:val="Body Text"/>
    <w:basedOn w:val="1"/>
    <w:link w:val="98"/>
    <w:unhideWhenUsed/>
    <w:qFormat/>
    <w:uiPriority w:val="0"/>
    <w:pPr>
      <w:spacing w:after="120"/>
    </w:pPr>
    <w:rPr>
      <w:kern w:val="0"/>
      <w:sz w:val="20"/>
    </w:rPr>
  </w:style>
  <w:style w:type="paragraph" w:styleId="24">
    <w:name w:val="Body Text Indent"/>
    <w:basedOn w:val="1"/>
    <w:link w:val="107"/>
    <w:qFormat/>
    <w:uiPriority w:val="0"/>
    <w:pPr>
      <w:ind w:firstLine="200" w:firstLineChars="200"/>
      <w:jc w:val="left"/>
    </w:pPr>
    <w:rPr>
      <w:rFonts w:ascii="仿宋_GB2312" w:eastAsia="仿宋_GB2312"/>
      <w:kern w:val="0"/>
      <w:sz w:val="24"/>
    </w:rPr>
  </w:style>
  <w:style w:type="paragraph" w:styleId="25">
    <w:name w:val="List 2"/>
    <w:basedOn w:val="1"/>
    <w:qFormat/>
    <w:uiPriority w:val="99"/>
    <w:pPr>
      <w:ind w:left="840" w:hanging="420"/>
    </w:pPr>
    <w:rPr>
      <w:szCs w:val="20"/>
    </w:rPr>
  </w:style>
  <w:style w:type="paragraph" w:styleId="26">
    <w:name w:val="List Continue"/>
    <w:basedOn w:val="1"/>
    <w:qFormat/>
    <w:uiPriority w:val="99"/>
    <w:pPr>
      <w:spacing w:after="120"/>
      <w:ind w:left="420" w:leftChars="200"/>
    </w:pPr>
    <w:rPr>
      <w:sz w:val="28"/>
      <w:szCs w:val="20"/>
    </w:rPr>
  </w:style>
  <w:style w:type="paragraph" w:styleId="27">
    <w:name w:val="Block Text"/>
    <w:basedOn w:val="1"/>
    <w:qFormat/>
    <w:uiPriority w:val="0"/>
    <w:pPr>
      <w:overflowPunct w:val="0"/>
      <w:snapToGrid w:val="0"/>
      <w:spacing w:line="360" w:lineRule="auto"/>
      <w:ind w:left="315" w:leftChars="150" w:right="346" w:rightChars="165"/>
    </w:pPr>
    <w:rPr>
      <w:rFonts w:ascii="宋体" w:hAnsi="宋体"/>
      <w:sz w:val="24"/>
      <w:szCs w:val="28"/>
    </w:rPr>
  </w:style>
  <w:style w:type="paragraph" w:styleId="28">
    <w:name w:val="List Bullet 2"/>
    <w:basedOn w:val="1"/>
    <w:qFormat/>
    <w:uiPriority w:val="0"/>
    <w:pPr>
      <w:tabs>
        <w:tab w:val="left" w:pos="780"/>
      </w:tabs>
      <w:ind w:left="780" w:leftChars="200" w:hanging="360" w:hangingChars="200"/>
    </w:pPr>
  </w:style>
  <w:style w:type="paragraph" w:styleId="29">
    <w:name w:val="toc 5"/>
    <w:basedOn w:val="1"/>
    <w:next w:val="1"/>
    <w:qFormat/>
    <w:uiPriority w:val="39"/>
    <w:pPr>
      <w:ind w:left="800" w:leftChars="800"/>
    </w:pPr>
  </w:style>
  <w:style w:type="paragraph" w:styleId="30">
    <w:name w:val="toc 3"/>
    <w:basedOn w:val="1"/>
    <w:next w:val="1"/>
    <w:qFormat/>
    <w:uiPriority w:val="39"/>
    <w:pPr>
      <w:tabs>
        <w:tab w:val="right" w:leader="dot" w:pos="9515"/>
      </w:tabs>
      <w:ind w:left="400" w:leftChars="400"/>
    </w:pPr>
  </w:style>
  <w:style w:type="paragraph" w:styleId="31">
    <w:name w:val="Plain Text"/>
    <w:basedOn w:val="1"/>
    <w:next w:val="1"/>
    <w:link w:val="84"/>
    <w:qFormat/>
    <w:uiPriority w:val="0"/>
    <w:pPr>
      <w:autoSpaceDE w:val="0"/>
      <w:autoSpaceDN w:val="0"/>
      <w:adjustRightInd w:val="0"/>
      <w:jc w:val="left"/>
    </w:pPr>
    <w:rPr>
      <w:rFonts w:ascii="宋体" w:hAnsi="Courier New" w:cs="Courier New"/>
      <w:kern w:val="0"/>
      <w:sz w:val="20"/>
      <w:szCs w:val="21"/>
    </w:rPr>
  </w:style>
  <w:style w:type="paragraph" w:styleId="32">
    <w:name w:val="List Number 4"/>
    <w:basedOn w:val="1"/>
    <w:qFormat/>
    <w:uiPriority w:val="0"/>
    <w:pPr>
      <w:numPr>
        <w:ilvl w:val="0"/>
        <w:numId w:val="2"/>
      </w:numPr>
      <w:tabs>
        <w:tab w:val="left" w:pos="1620"/>
      </w:tabs>
      <w:spacing w:line="360" w:lineRule="auto"/>
      <w:ind w:firstLine="0"/>
    </w:pPr>
    <w:rPr>
      <w:rFonts w:ascii="宋体" w:hAnsi="宋体"/>
      <w:sz w:val="24"/>
      <w:szCs w:val="20"/>
    </w:rPr>
  </w:style>
  <w:style w:type="paragraph" w:styleId="33">
    <w:name w:val="toc 8"/>
    <w:basedOn w:val="1"/>
    <w:next w:val="1"/>
    <w:qFormat/>
    <w:uiPriority w:val="39"/>
    <w:pPr>
      <w:ind w:left="1400" w:leftChars="1400"/>
    </w:pPr>
  </w:style>
  <w:style w:type="paragraph" w:styleId="34">
    <w:name w:val="Date"/>
    <w:basedOn w:val="1"/>
    <w:next w:val="1"/>
    <w:link w:val="94"/>
    <w:qFormat/>
    <w:uiPriority w:val="99"/>
    <w:pPr>
      <w:ind w:left="2500" w:leftChars="2500"/>
    </w:pPr>
    <w:rPr>
      <w:rFonts w:ascii="仿宋_GB2312" w:eastAsia="仿宋_GB2312"/>
      <w:kern w:val="0"/>
      <w:sz w:val="24"/>
    </w:rPr>
  </w:style>
  <w:style w:type="paragraph" w:styleId="35">
    <w:name w:val="Body Text Indent 2"/>
    <w:basedOn w:val="1"/>
    <w:link w:val="82"/>
    <w:qFormat/>
    <w:uiPriority w:val="99"/>
    <w:pPr>
      <w:spacing w:line="60" w:lineRule="auto"/>
      <w:ind w:firstLine="128" w:firstLineChars="128"/>
    </w:pPr>
    <w:rPr>
      <w:rFonts w:ascii="仿宋_GB2312" w:eastAsia="仿宋_GB2312"/>
      <w:kern w:val="0"/>
      <w:sz w:val="24"/>
    </w:rPr>
  </w:style>
  <w:style w:type="paragraph" w:styleId="36">
    <w:name w:val="endnote text"/>
    <w:basedOn w:val="1"/>
    <w:link w:val="262"/>
    <w:qFormat/>
    <w:uiPriority w:val="99"/>
    <w:pPr>
      <w:snapToGrid w:val="0"/>
      <w:jc w:val="left"/>
    </w:pPr>
    <w:rPr>
      <w:szCs w:val="20"/>
    </w:rPr>
  </w:style>
  <w:style w:type="paragraph" w:styleId="37">
    <w:name w:val="Balloon Text"/>
    <w:basedOn w:val="1"/>
    <w:link w:val="85"/>
    <w:qFormat/>
    <w:uiPriority w:val="0"/>
    <w:rPr>
      <w:kern w:val="0"/>
      <w:sz w:val="18"/>
      <w:szCs w:val="18"/>
    </w:rPr>
  </w:style>
  <w:style w:type="paragraph" w:styleId="38">
    <w:name w:val="footer"/>
    <w:basedOn w:val="1"/>
    <w:link w:val="78"/>
    <w:unhideWhenUsed/>
    <w:qFormat/>
    <w:uiPriority w:val="99"/>
    <w:pPr>
      <w:tabs>
        <w:tab w:val="center" w:pos="4153"/>
        <w:tab w:val="right" w:pos="8306"/>
      </w:tabs>
      <w:snapToGrid w:val="0"/>
      <w:jc w:val="left"/>
    </w:pPr>
    <w:rPr>
      <w:sz w:val="18"/>
      <w:szCs w:val="18"/>
    </w:rPr>
  </w:style>
  <w:style w:type="paragraph" w:styleId="39">
    <w:name w:val="header"/>
    <w:basedOn w:val="1"/>
    <w:link w:val="77"/>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right" w:leader="dot" w:pos="9628"/>
      </w:tabs>
      <w:spacing w:line="360" w:lineRule="auto"/>
    </w:pPr>
    <w:rPr>
      <w:rFonts w:hAnsi="宋体"/>
      <w:b/>
      <w:sz w:val="24"/>
    </w:rPr>
  </w:style>
  <w:style w:type="paragraph" w:styleId="41">
    <w:name w:val="toc 4"/>
    <w:basedOn w:val="1"/>
    <w:next w:val="1"/>
    <w:qFormat/>
    <w:uiPriority w:val="39"/>
    <w:pPr>
      <w:ind w:left="600" w:leftChars="600"/>
    </w:pPr>
  </w:style>
  <w:style w:type="paragraph" w:styleId="42">
    <w:name w:val="Subtitle"/>
    <w:basedOn w:val="1"/>
    <w:next w:val="1"/>
    <w:link w:val="215"/>
    <w:qFormat/>
    <w:uiPriority w:val="0"/>
    <w:pPr>
      <w:widowControl/>
      <w:spacing w:after="60" w:line="360" w:lineRule="auto"/>
      <w:ind w:firstLine="420" w:firstLineChars="200"/>
      <w:jc w:val="center"/>
      <w:outlineLvl w:val="1"/>
    </w:pPr>
    <w:rPr>
      <w:rFonts w:ascii="Cambria" w:hAnsi="Cambria"/>
      <w:kern w:val="0"/>
      <w:szCs w:val="21"/>
      <w:lang w:bidi="en-US"/>
    </w:rPr>
  </w:style>
  <w:style w:type="paragraph" w:styleId="43">
    <w:name w:val="List"/>
    <w:basedOn w:val="1"/>
    <w:qFormat/>
    <w:uiPriority w:val="99"/>
    <w:pPr>
      <w:ind w:left="420" w:hanging="420"/>
    </w:pPr>
    <w:rPr>
      <w:szCs w:val="20"/>
    </w:rPr>
  </w:style>
  <w:style w:type="paragraph" w:styleId="44">
    <w:name w:val="footnote text"/>
    <w:basedOn w:val="1"/>
    <w:link w:val="257"/>
    <w:qFormat/>
    <w:uiPriority w:val="99"/>
    <w:pPr>
      <w:snapToGrid w:val="0"/>
      <w:jc w:val="left"/>
    </w:pPr>
    <w:rPr>
      <w:sz w:val="18"/>
      <w:szCs w:val="18"/>
    </w:rPr>
  </w:style>
  <w:style w:type="paragraph" w:styleId="45">
    <w:name w:val="toc 6"/>
    <w:basedOn w:val="1"/>
    <w:next w:val="1"/>
    <w:qFormat/>
    <w:uiPriority w:val="39"/>
    <w:pPr>
      <w:ind w:left="1000" w:leftChars="1000"/>
    </w:pPr>
  </w:style>
  <w:style w:type="paragraph" w:styleId="46">
    <w:name w:val="Body Text Indent 3"/>
    <w:basedOn w:val="1"/>
    <w:link w:val="88"/>
    <w:qFormat/>
    <w:uiPriority w:val="99"/>
    <w:pPr>
      <w:spacing w:line="360" w:lineRule="auto"/>
      <w:ind w:firstLine="192" w:firstLineChars="192"/>
    </w:pPr>
    <w:rPr>
      <w:rFonts w:ascii="仿宋_GB2312" w:eastAsia="仿宋_GB2312"/>
      <w:color w:val="3366FF"/>
      <w:kern w:val="0"/>
      <w:sz w:val="24"/>
    </w:rPr>
  </w:style>
  <w:style w:type="paragraph" w:styleId="47">
    <w:name w:val="table of figures"/>
    <w:basedOn w:val="1"/>
    <w:next w:val="1"/>
    <w:semiHidden/>
    <w:qFormat/>
    <w:uiPriority w:val="0"/>
    <w:pPr>
      <w:ind w:left="840" w:leftChars="200" w:hanging="420" w:hangingChars="200"/>
    </w:pPr>
    <w:rPr>
      <w:szCs w:val="20"/>
    </w:rPr>
  </w:style>
  <w:style w:type="paragraph" w:styleId="48">
    <w:name w:val="toc 2"/>
    <w:basedOn w:val="1"/>
    <w:next w:val="1"/>
    <w:qFormat/>
    <w:uiPriority w:val="39"/>
    <w:pPr>
      <w:tabs>
        <w:tab w:val="right" w:leader="dot" w:pos="9515"/>
      </w:tabs>
      <w:ind w:left="270" w:leftChars="100" w:right="100" w:rightChars="100" w:hanging="60"/>
    </w:pPr>
  </w:style>
  <w:style w:type="paragraph" w:styleId="49">
    <w:name w:val="toc 9"/>
    <w:basedOn w:val="1"/>
    <w:next w:val="1"/>
    <w:qFormat/>
    <w:uiPriority w:val="39"/>
    <w:pPr>
      <w:ind w:left="1600" w:leftChars="1600"/>
    </w:pPr>
  </w:style>
  <w:style w:type="paragraph" w:styleId="50">
    <w:name w:val="Body Text 2"/>
    <w:basedOn w:val="1"/>
    <w:link w:val="83"/>
    <w:qFormat/>
    <w:uiPriority w:val="99"/>
    <w:rPr>
      <w:rFonts w:ascii="宋体"/>
      <w:kern w:val="0"/>
      <w:sz w:val="20"/>
      <w:szCs w:val="20"/>
    </w:rPr>
  </w:style>
  <w:style w:type="paragraph" w:styleId="51">
    <w:name w:val="List 4"/>
    <w:basedOn w:val="1"/>
    <w:qFormat/>
    <w:uiPriority w:val="99"/>
    <w:pPr>
      <w:ind w:left="1680" w:hanging="420"/>
    </w:pPr>
    <w:rPr>
      <w:szCs w:val="20"/>
    </w:rPr>
  </w:style>
  <w:style w:type="paragraph" w:styleId="52">
    <w:name w:val="HTML Preformatted"/>
    <w:basedOn w:val="1"/>
    <w:link w:val="2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4">
    <w:name w:val="index 1"/>
    <w:basedOn w:val="1"/>
    <w:next w:val="1"/>
    <w:qFormat/>
    <w:uiPriority w:val="0"/>
    <w:pPr>
      <w:widowControl/>
      <w:adjustRightInd w:val="0"/>
      <w:snapToGrid w:val="0"/>
      <w:spacing w:before="60" w:after="60" w:line="240" w:lineRule="atLeast"/>
      <w:ind w:firstLine="420" w:firstLineChars="200"/>
      <w:jc w:val="center"/>
    </w:pPr>
    <w:rPr>
      <w:rFonts w:ascii="宋体" w:hAnsi="宋体"/>
      <w:bCs/>
      <w:kern w:val="0"/>
      <w:sz w:val="24"/>
      <w:szCs w:val="22"/>
      <w:lang w:eastAsia="en-US"/>
    </w:rPr>
  </w:style>
  <w:style w:type="paragraph" w:styleId="55">
    <w:name w:val="Title"/>
    <w:basedOn w:val="1"/>
    <w:next w:val="1"/>
    <w:link w:val="237"/>
    <w:qFormat/>
    <w:uiPriority w:val="99"/>
    <w:pPr>
      <w:widowControl/>
      <w:spacing w:before="240" w:after="60" w:line="360" w:lineRule="auto"/>
      <w:ind w:firstLine="420" w:firstLineChars="200"/>
      <w:jc w:val="center"/>
      <w:outlineLvl w:val="0"/>
    </w:pPr>
    <w:rPr>
      <w:rFonts w:ascii="Cambria" w:hAnsi="Cambria"/>
      <w:b/>
      <w:bCs/>
      <w:kern w:val="28"/>
      <w:sz w:val="32"/>
      <w:szCs w:val="32"/>
      <w:lang w:bidi="en-US"/>
    </w:rPr>
  </w:style>
  <w:style w:type="paragraph" w:styleId="56">
    <w:name w:val="annotation subject"/>
    <w:basedOn w:val="20"/>
    <w:next w:val="20"/>
    <w:link w:val="81"/>
    <w:qFormat/>
    <w:uiPriority w:val="0"/>
    <w:rPr>
      <w:b/>
      <w:bCs/>
    </w:rPr>
  </w:style>
  <w:style w:type="paragraph" w:styleId="57">
    <w:name w:val="Body Text First Indent"/>
    <w:basedOn w:val="23"/>
    <w:link w:val="100"/>
    <w:qFormat/>
    <w:uiPriority w:val="99"/>
    <w:pPr>
      <w:tabs>
        <w:tab w:val="center" w:pos="2185"/>
      </w:tabs>
      <w:spacing w:beforeLines="50" w:after="0" w:line="300" w:lineRule="auto"/>
      <w:ind w:firstLine="200" w:firstLineChars="200"/>
    </w:pPr>
    <w:rPr>
      <w:rFonts w:ascii="楷体_GB2312" w:eastAsia="楷体_GB2312"/>
      <w:spacing w:val="4"/>
      <w:szCs w:val="20"/>
    </w:rPr>
  </w:style>
  <w:style w:type="paragraph" w:styleId="58">
    <w:name w:val="Body Text First Indent 2"/>
    <w:basedOn w:val="24"/>
    <w:link w:val="316"/>
    <w:qFormat/>
    <w:uiPriority w:val="0"/>
    <w:pPr>
      <w:spacing w:after="120"/>
      <w:ind w:left="420" w:leftChars="200" w:firstLine="420"/>
    </w:pPr>
    <w:rPr>
      <w:rFonts w:ascii="宋体" w:hAnsi="宋体" w:eastAsia="宋体"/>
      <w:color w:val="000000"/>
      <w:lang w:bidi="en-US"/>
    </w:rPr>
  </w:style>
  <w:style w:type="table" w:styleId="60">
    <w:name w:val="Table Grid"/>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Theme"/>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Grid 4"/>
    <w:basedOn w:val="59"/>
    <w:qFormat/>
    <w:uiPriority w:val="0"/>
    <w:pPr>
      <w:widowControl w:val="0"/>
      <w:jc w:val="both"/>
    </w:pPr>
    <w:rPr>
      <w:rFonts w:ascii="宋体" w:hAnsi="宋体"/>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64">
    <w:name w:val="Strong"/>
    <w:qFormat/>
    <w:uiPriority w:val="0"/>
    <w:rPr>
      <w:b/>
      <w:bCs/>
    </w:rPr>
  </w:style>
  <w:style w:type="character" w:styleId="65">
    <w:name w:val="page number"/>
    <w:qFormat/>
    <w:uiPriority w:val="0"/>
    <w:rPr>
      <w:rFonts w:cs="Times New Roman"/>
    </w:rPr>
  </w:style>
  <w:style w:type="character" w:styleId="66">
    <w:name w:val="FollowedHyperlink"/>
    <w:unhideWhenUsed/>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rFonts w:cs="Times New Roman"/>
      <w:sz w:val="21"/>
      <w:szCs w:val="21"/>
    </w:rPr>
  </w:style>
  <w:style w:type="character" w:styleId="70">
    <w:name w:val="footnote reference"/>
    <w:qFormat/>
    <w:uiPriority w:val="0"/>
    <w:rPr>
      <w:vertAlign w:val="superscript"/>
    </w:rPr>
  </w:style>
  <w:style w:type="character" w:customStyle="1" w:styleId="71">
    <w:name w:val="标题 1 Char"/>
    <w:link w:val="2"/>
    <w:qFormat/>
    <w:uiPriority w:val="0"/>
    <w:rPr>
      <w:rFonts w:ascii="仿宋_GB2312" w:eastAsia="仿宋_GB2312"/>
      <w:b/>
      <w:bCs/>
      <w:color w:val="000000"/>
    </w:rPr>
  </w:style>
  <w:style w:type="character" w:customStyle="1" w:styleId="72">
    <w:name w:val="标题 2 Char"/>
    <w:link w:val="3"/>
    <w:qFormat/>
    <w:uiPriority w:val="0"/>
    <w:rPr>
      <w:rFonts w:ascii="Arial" w:hAnsi="Arial"/>
      <w:b/>
      <w:bCs/>
      <w:sz w:val="32"/>
      <w:szCs w:val="32"/>
    </w:rPr>
  </w:style>
  <w:style w:type="character" w:customStyle="1" w:styleId="73">
    <w:name w:val="标题 3 Char"/>
    <w:link w:val="4"/>
    <w:qFormat/>
    <w:uiPriority w:val="0"/>
    <w:rPr>
      <w:rFonts w:ascii="宋体"/>
      <w:b/>
      <w:bCs/>
      <w:sz w:val="32"/>
      <w:szCs w:val="32"/>
    </w:rPr>
  </w:style>
  <w:style w:type="character" w:customStyle="1" w:styleId="74">
    <w:name w:val="标题 4 Char"/>
    <w:link w:val="5"/>
    <w:qFormat/>
    <w:uiPriority w:val="0"/>
    <w:rPr>
      <w:rFonts w:ascii="Arial" w:hAnsi="Arial" w:eastAsia="黑体"/>
      <w:b/>
      <w:bCs/>
      <w:kern w:val="2"/>
      <w:sz w:val="28"/>
      <w:szCs w:val="28"/>
    </w:rPr>
  </w:style>
  <w:style w:type="character" w:customStyle="1" w:styleId="75">
    <w:name w:val="标题 5 Char"/>
    <w:link w:val="6"/>
    <w:qFormat/>
    <w:uiPriority w:val="0"/>
    <w:rPr>
      <w:b/>
      <w:sz w:val="24"/>
      <w:szCs w:val="24"/>
    </w:rPr>
  </w:style>
  <w:style w:type="character" w:customStyle="1" w:styleId="76">
    <w:name w:val="题注 Char"/>
    <w:link w:val="16"/>
    <w:qFormat/>
    <w:uiPriority w:val="0"/>
    <w:rPr>
      <w:rFonts w:ascii="Cambria" w:hAnsi="Cambria" w:eastAsia="黑体"/>
    </w:rPr>
  </w:style>
  <w:style w:type="character" w:customStyle="1" w:styleId="77">
    <w:name w:val="页眉 Char"/>
    <w:basedOn w:val="63"/>
    <w:link w:val="39"/>
    <w:qFormat/>
    <w:uiPriority w:val="0"/>
    <w:rPr>
      <w:kern w:val="2"/>
      <w:sz w:val="18"/>
      <w:szCs w:val="18"/>
    </w:rPr>
  </w:style>
  <w:style w:type="character" w:customStyle="1" w:styleId="78">
    <w:name w:val="页脚 Char"/>
    <w:basedOn w:val="63"/>
    <w:link w:val="38"/>
    <w:qFormat/>
    <w:uiPriority w:val="99"/>
    <w:rPr>
      <w:kern w:val="2"/>
      <w:sz w:val="18"/>
      <w:szCs w:val="18"/>
    </w:rPr>
  </w:style>
  <w:style w:type="character" w:customStyle="1" w:styleId="79">
    <w:name w:val="批注文字 Char1"/>
    <w:basedOn w:val="63"/>
    <w:semiHidden/>
    <w:qFormat/>
    <w:uiPriority w:val="99"/>
  </w:style>
  <w:style w:type="character" w:customStyle="1" w:styleId="80">
    <w:name w:val="para1"/>
    <w:qFormat/>
    <w:uiPriority w:val="0"/>
    <w:rPr>
      <w:rFonts w:ascii="Arial" w:hAnsi="Arial"/>
      <w:sz w:val="18"/>
    </w:rPr>
  </w:style>
  <w:style w:type="character" w:customStyle="1" w:styleId="81">
    <w:name w:val="批注主题 Char"/>
    <w:link w:val="56"/>
    <w:qFormat/>
    <w:uiPriority w:val="0"/>
    <w:rPr>
      <w:b/>
      <w:bCs/>
      <w:sz w:val="24"/>
      <w:szCs w:val="24"/>
    </w:rPr>
  </w:style>
  <w:style w:type="character" w:customStyle="1" w:styleId="82">
    <w:name w:val="正文文本缩进 2 Char"/>
    <w:link w:val="35"/>
    <w:qFormat/>
    <w:uiPriority w:val="99"/>
    <w:rPr>
      <w:rFonts w:ascii="仿宋_GB2312" w:eastAsia="仿宋_GB2312"/>
      <w:sz w:val="24"/>
      <w:szCs w:val="24"/>
    </w:rPr>
  </w:style>
  <w:style w:type="character" w:customStyle="1" w:styleId="83">
    <w:name w:val="正文文本 2 Char"/>
    <w:link w:val="50"/>
    <w:qFormat/>
    <w:uiPriority w:val="99"/>
    <w:rPr>
      <w:rFonts w:ascii="宋体"/>
    </w:rPr>
  </w:style>
  <w:style w:type="character" w:customStyle="1" w:styleId="84">
    <w:name w:val="纯文本 Char1"/>
    <w:link w:val="31"/>
    <w:qFormat/>
    <w:uiPriority w:val="0"/>
    <w:rPr>
      <w:rFonts w:ascii="宋体" w:hAnsi="Courier New" w:cs="Courier New"/>
      <w:szCs w:val="21"/>
    </w:rPr>
  </w:style>
  <w:style w:type="character" w:customStyle="1" w:styleId="85">
    <w:name w:val="批注框文本 Char"/>
    <w:link w:val="37"/>
    <w:qFormat/>
    <w:uiPriority w:val="0"/>
    <w:rPr>
      <w:sz w:val="18"/>
      <w:szCs w:val="18"/>
    </w:rPr>
  </w:style>
  <w:style w:type="character" w:customStyle="1" w:styleId="86">
    <w:name w:val="正文文本 2 Char1"/>
    <w:basedOn w:val="63"/>
    <w:qFormat/>
    <w:uiPriority w:val="0"/>
  </w:style>
  <w:style w:type="character" w:customStyle="1" w:styleId="87">
    <w:name w:val="grame"/>
    <w:qFormat/>
    <w:uiPriority w:val="0"/>
    <w:rPr>
      <w:rFonts w:cs="Times New Roman"/>
    </w:rPr>
  </w:style>
  <w:style w:type="character" w:customStyle="1" w:styleId="88">
    <w:name w:val="正文文本缩进 3 Char"/>
    <w:link w:val="46"/>
    <w:qFormat/>
    <w:uiPriority w:val="99"/>
    <w:rPr>
      <w:rFonts w:ascii="仿宋_GB2312" w:eastAsia="仿宋_GB2312"/>
      <w:color w:val="3366FF"/>
      <w:sz w:val="24"/>
      <w:szCs w:val="24"/>
    </w:rPr>
  </w:style>
  <w:style w:type="character" w:customStyle="1" w:styleId="89">
    <w:name w:val="普通文字 Char Char1"/>
    <w:qFormat/>
    <w:uiPriority w:val="0"/>
    <w:rPr>
      <w:rFonts w:ascii="宋体" w:eastAsia="宋体" w:cs="Times New Roman"/>
      <w:kern w:val="2"/>
      <w:sz w:val="21"/>
      <w:lang w:val="en-US" w:eastAsia="zh-CN" w:bidi="ar-SA"/>
    </w:rPr>
  </w:style>
  <w:style w:type="character" w:customStyle="1" w:styleId="90">
    <w:name w:val="正文文本缩进 Char1"/>
    <w:basedOn w:val="63"/>
    <w:qFormat/>
    <w:uiPriority w:val="0"/>
  </w:style>
  <w:style w:type="character" w:customStyle="1" w:styleId="91">
    <w:name w:val="文档结构图 Char"/>
    <w:link w:val="18"/>
    <w:qFormat/>
    <w:uiPriority w:val="0"/>
    <w:rPr>
      <w:sz w:val="24"/>
      <w:szCs w:val="24"/>
      <w:shd w:val="clear" w:color="auto" w:fill="000080"/>
    </w:rPr>
  </w:style>
  <w:style w:type="character" w:customStyle="1" w:styleId="92">
    <w:name w:val="正文文本缩进 2 Char1"/>
    <w:basedOn w:val="63"/>
    <w:qFormat/>
    <w:uiPriority w:val="0"/>
  </w:style>
  <w:style w:type="character" w:customStyle="1" w:styleId="93">
    <w:name w:val="日期 Char1"/>
    <w:basedOn w:val="63"/>
    <w:semiHidden/>
    <w:qFormat/>
    <w:uiPriority w:val="99"/>
  </w:style>
  <w:style w:type="character" w:customStyle="1" w:styleId="94">
    <w:name w:val="日期 Char"/>
    <w:link w:val="34"/>
    <w:qFormat/>
    <w:uiPriority w:val="99"/>
    <w:rPr>
      <w:rFonts w:ascii="仿宋_GB2312" w:eastAsia="仿宋_GB2312"/>
      <w:sz w:val="24"/>
      <w:szCs w:val="24"/>
    </w:rPr>
  </w:style>
  <w:style w:type="character" w:customStyle="1" w:styleId="95">
    <w:name w:val="正文首行缩进 Char1"/>
    <w:qFormat/>
    <w:uiPriority w:val="99"/>
    <w:rPr>
      <w:rFonts w:ascii="Times New Roman" w:hAnsi="Times New Roman" w:eastAsia="宋体" w:cs="Times New Roman"/>
      <w:szCs w:val="24"/>
    </w:rPr>
  </w:style>
  <w:style w:type="character" w:customStyle="1" w:styleId="96">
    <w:name w:val="正文文本缩进 3 Char1"/>
    <w:semiHidden/>
    <w:qFormat/>
    <w:uiPriority w:val="99"/>
    <w:rPr>
      <w:sz w:val="16"/>
      <w:szCs w:val="16"/>
    </w:rPr>
  </w:style>
  <w:style w:type="character" w:customStyle="1" w:styleId="97">
    <w:name w:val="正文文本 Char"/>
    <w:qFormat/>
    <w:uiPriority w:val="0"/>
    <w:rPr>
      <w:rFonts w:ascii="Times New Roman" w:hAnsi="Times New Roman" w:eastAsia="宋体" w:cs="Times New Roman"/>
      <w:sz w:val="24"/>
      <w:szCs w:val="24"/>
    </w:rPr>
  </w:style>
  <w:style w:type="character" w:customStyle="1" w:styleId="98">
    <w:name w:val="正文文本 Char1"/>
    <w:link w:val="23"/>
    <w:qFormat/>
    <w:uiPriority w:val="0"/>
    <w:rPr>
      <w:szCs w:val="24"/>
    </w:rPr>
  </w:style>
  <w:style w:type="character" w:customStyle="1" w:styleId="99">
    <w:name w:val="页眉 Char1"/>
    <w:qFormat/>
    <w:uiPriority w:val="99"/>
    <w:rPr>
      <w:kern w:val="2"/>
      <w:sz w:val="18"/>
      <w:szCs w:val="18"/>
    </w:rPr>
  </w:style>
  <w:style w:type="character" w:customStyle="1" w:styleId="100">
    <w:name w:val="正文首行缩进 Char"/>
    <w:link w:val="57"/>
    <w:qFormat/>
    <w:uiPriority w:val="0"/>
    <w:rPr>
      <w:rFonts w:ascii="楷体_GB2312" w:eastAsia="楷体_GB2312"/>
      <w:spacing w:val="4"/>
    </w:rPr>
  </w:style>
  <w:style w:type="character" w:customStyle="1" w:styleId="101">
    <w:name w:val="文档结构图 Char1"/>
    <w:semiHidden/>
    <w:qFormat/>
    <w:uiPriority w:val="0"/>
    <w:rPr>
      <w:rFonts w:ascii="宋体" w:eastAsia="宋体"/>
      <w:sz w:val="18"/>
      <w:szCs w:val="18"/>
    </w:rPr>
  </w:style>
  <w:style w:type="character" w:customStyle="1" w:styleId="102">
    <w:name w:val="批注框文本 Char1"/>
    <w:semiHidden/>
    <w:qFormat/>
    <w:uiPriority w:val="0"/>
    <w:rPr>
      <w:sz w:val="18"/>
      <w:szCs w:val="18"/>
    </w:rPr>
  </w:style>
  <w:style w:type="character" w:customStyle="1" w:styleId="103">
    <w:name w:val="纯文本 Char"/>
    <w:qFormat/>
    <w:uiPriority w:val="0"/>
    <w:rPr>
      <w:rFonts w:ascii="宋体" w:hAnsi="Courier New" w:eastAsia="宋体" w:cs="Courier New"/>
      <w:sz w:val="21"/>
      <w:szCs w:val="21"/>
    </w:rPr>
  </w:style>
  <w:style w:type="character" w:customStyle="1" w:styleId="104">
    <w:name w:val="纯文本 Char2"/>
    <w:semiHidden/>
    <w:qFormat/>
    <w:uiPriority w:val="0"/>
    <w:rPr>
      <w:rFonts w:ascii="宋体" w:hAnsi="Courier New" w:eastAsia="宋体" w:cs="Courier New"/>
      <w:szCs w:val="21"/>
    </w:rPr>
  </w:style>
  <w:style w:type="character" w:customStyle="1" w:styleId="105">
    <w:name w:val="页脚 Char1"/>
    <w:qFormat/>
    <w:uiPriority w:val="0"/>
    <w:rPr>
      <w:kern w:val="2"/>
      <w:sz w:val="18"/>
      <w:szCs w:val="18"/>
    </w:rPr>
  </w:style>
  <w:style w:type="character" w:customStyle="1" w:styleId="106">
    <w:name w:val="批注主题 Char1"/>
    <w:semiHidden/>
    <w:qFormat/>
    <w:uiPriority w:val="0"/>
    <w:rPr>
      <w:b/>
      <w:bCs/>
    </w:rPr>
  </w:style>
  <w:style w:type="character" w:customStyle="1" w:styleId="107">
    <w:name w:val="正文文本缩进 Char"/>
    <w:link w:val="24"/>
    <w:qFormat/>
    <w:uiPriority w:val="0"/>
    <w:rPr>
      <w:rFonts w:ascii="仿宋_GB2312" w:eastAsia="仿宋_GB2312"/>
      <w:sz w:val="24"/>
      <w:szCs w:val="24"/>
    </w:rPr>
  </w:style>
  <w:style w:type="character" w:customStyle="1" w:styleId="108">
    <w:name w:val="批注文字 Char"/>
    <w:link w:val="20"/>
    <w:qFormat/>
    <w:uiPriority w:val="0"/>
    <w:rPr>
      <w:sz w:val="24"/>
      <w:szCs w:val="24"/>
    </w:rPr>
  </w:style>
  <w:style w:type="paragraph" w:customStyle="1" w:styleId="109">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character" w:customStyle="1" w:styleId="110">
    <w:name w:val="正文文本 2 Char2"/>
    <w:basedOn w:val="63"/>
    <w:qFormat/>
    <w:uiPriority w:val="0"/>
    <w:rPr>
      <w:kern w:val="2"/>
      <w:sz w:val="21"/>
      <w:szCs w:val="24"/>
    </w:rPr>
  </w:style>
  <w:style w:type="character" w:customStyle="1" w:styleId="111">
    <w:name w:val="正文文本缩进 Char2"/>
    <w:basedOn w:val="63"/>
    <w:semiHidden/>
    <w:qFormat/>
    <w:uiPriority w:val="0"/>
    <w:rPr>
      <w:kern w:val="2"/>
      <w:sz w:val="21"/>
      <w:szCs w:val="24"/>
    </w:rPr>
  </w:style>
  <w:style w:type="paragraph" w:customStyle="1" w:styleId="112">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character" w:customStyle="1" w:styleId="113">
    <w:name w:val="日期 Char2"/>
    <w:basedOn w:val="63"/>
    <w:semiHidden/>
    <w:qFormat/>
    <w:uiPriority w:val="99"/>
    <w:rPr>
      <w:kern w:val="2"/>
      <w:sz w:val="21"/>
      <w:szCs w:val="24"/>
    </w:rPr>
  </w:style>
  <w:style w:type="paragraph" w:customStyle="1" w:styleId="114">
    <w:name w:val="xl23"/>
    <w:next w:val="115"/>
    <w:qFormat/>
    <w:uiPriority w:val="99"/>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15">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character" w:customStyle="1" w:styleId="116">
    <w:name w:val="页脚 Char2"/>
    <w:basedOn w:val="63"/>
    <w:semiHidden/>
    <w:qFormat/>
    <w:uiPriority w:val="99"/>
    <w:rPr>
      <w:kern w:val="2"/>
      <w:sz w:val="18"/>
      <w:szCs w:val="18"/>
    </w:rPr>
  </w:style>
  <w:style w:type="paragraph" w:customStyle="1" w:styleId="117">
    <w:name w:val="表格"/>
    <w:basedOn w:val="1"/>
    <w:qFormat/>
    <w:uiPriority w:val="99"/>
    <w:pPr>
      <w:tabs>
        <w:tab w:val="left" w:pos="1200"/>
      </w:tabs>
      <w:spacing w:line="500" w:lineRule="exact"/>
      <w:jc w:val="center"/>
    </w:pPr>
    <w:rPr>
      <w:rFonts w:ascii="宋体"/>
      <w:sz w:val="24"/>
      <w:szCs w:val="18"/>
    </w:rPr>
  </w:style>
  <w:style w:type="character" w:customStyle="1" w:styleId="118">
    <w:name w:val="正文文本缩进 2 Char2"/>
    <w:basedOn w:val="63"/>
    <w:semiHidden/>
    <w:qFormat/>
    <w:uiPriority w:val="99"/>
    <w:rPr>
      <w:kern w:val="2"/>
      <w:sz w:val="21"/>
      <w:szCs w:val="24"/>
    </w:rPr>
  </w:style>
  <w:style w:type="paragraph" w:customStyle="1" w:styleId="119">
    <w:name w:val="font8"/>
    <w:basedOn w:val="1"/>
    <w:qFormat/>
    <w:uiPriority w:val="99"/>
    <w:pPr>
      <w:widowControl/>
      <w:spacing w:before="100" w:beforeAutospacing="1" w:after="100" w:afterAutospacing="1"/>
      <w:jc w:val="left"/>
    </w:pPr>
    <w:rPr>
      <w:kern w:val="0"/>
      <w:sz w:val="20"/>
      <w:szCs w:val="20"/>
    </w:rPr>
  </w:style>
  <w:style w:type="character" w:customStyle="1" w:styleId="120">
    <w:name w:val="批注文字 Char2"/>
    <w:basedOn w:val="63"/>
    <w:qFormat/>
    <w:uiPriority w:val="0"/>
    <w:rPr>
      <w:kern w:val="2"/>
      <w:sz w:val="21"/>
      <w:szCs w:val="24"/>
    </w:rPr>
  </w:style>
  <w:style w:type="character" w:customStyle="1" w:styleId="121">
    <w:name w:val="文档结构图 Char2"/>
    <w:basedOn w:val="63"/>
    <w:semiHidden/>
    <w:qFormat/>
    <w:uiPriority w:val="99"/>
    <w:rPr>
      <w:rFonts w:ascii="宋体"/>
      <w:kern w:val="2"/>
      <w:sz w:val="18"/>
      <w:szCs w:val="18"/>
    </w:rPr>
  </w:style>
  <w:style w:type="paragraph" w:customStyle="1" w:styleId="122">
    <w:name w:val="xl61"/>
    <w:basedOn w:val="1"/>
    <w:qFormat/>
    <w:uiPriority w:val="99"/>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character" w:customStyle="1" w:styleId="123">
    <w:name w:val="正文文本 Char2"/>
    <w:basedOn w:val="63"/>
    <w:semiHidden/>
    <w:qFormat/>
    <w:uiPriority w:val="0"/>
    <w:rPr>
      <w:kern w:val="2"/>
      <w:sz w:val="21"/>
      <w:szCs w:val="24"/>
    </w:rPr>
  </w:style>
  <w:style w:type="paragraph" w:customStyle="1" w:styleId="124">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character" w:customStyle="1" w:styleId="125">
    <w:name w:val="批注主题 Char2"/>
    <w:basedOn w:val="120"/>
    <w:semiHidden/>
    <w:qFormat/>
    <w:uiPriority w:val="99"/>
    <w:rPr>
      <w:b/>
      <w:bCs/>
      <w:kern w:val="2"/>
      <w:sz w:val="21"/>
      <w:szCs w:val="24"/>
    </w:rPr>
  </w:style>
  <w:style w:type="character" w:customStyle="1" w:styleId="126">
    <w:name w:val="纯文本 Char3"/>
    <w:basedOn w:val="63"/>
    <w:semiHidden/>
    <w:qFormat/>
    <w:uiPriority w:val="99"/>
    <w:rPr>
      <w:rFonts w:ascii="宋体" w:hAnsi="Courier New" w:cs="Courier New"/>
      <w:kern w:val="2"/>
      <w:sz w:val="21"/>
      <w:szCs w:val="21"/>
    </w:rPr>
  </w:style>
  <w:style w:type="paragraph" w:customStyle="1" w:styleId="127">
    <w:name w:val="Default"/>
    <w:link w:val="254"/>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28">
    <w:name w:val="批注框文本 Char2"/>
    <w:basedOn w:val="63"/>
    <w:semiHidden/>
    <w:qFormat/>
    <w:uiPriority w:val="99"/>
    <w:rPr>
      <w:kern w:val="2"/>
      <w:sz w:val="18"/>
      <w:szCs w:val="18"/>
    </w:rPr>
  </w:style>
  <w:style w:type="character" w:customStyle="1" w:styleId="129">
    <w:name w:val="正文首行缩进 Char2"/>
    <w:basedOn w:val="123"/>
    <w:semiHidden/>
    <w:qFormat/>
    <w:uiPriority w:val="99"/>
    <w:rPr>
      <w:kern w:val="2"/>
      <w:sz w:val="21"/>
      <w:szCs w:val="24"/>
    </w:rPr>
  </w:style>
  <w:style w:type="character" w:customStyle="1" w:styleId="130">
    <w:name w:val="正文文本缩进 3 Char2"/>
    <w:basedOn w:val="63"/>
    <w:semiHidden/>
    <w:qFormat/>
    <w:uiPriority w:val="99"/>
    <w:rPr>
      <w:kern w:val="2"/>
      <w:sz w:val="16"/>
      <w:szCs w:val="16"/>
    </w:rPr>
  </w:style>
  <w:style w:type="paragraph" w:customStyle="1" w:styleId="131">
    <w:name w:val="列出段落1"/>
    <w:basedOn w:val="1"/>
    <w:qFormat/>
    <w:uiPriority w:val="0"/>
    <w:pPr>
      <w:ind w:firstLine="420" w:firstLineChars="200"/>
    </w:pPr>
    <w:rPr>
      <w:rFonts w:ascii="Calibri" w:hAnsi="Calibri"/>
      <w:szCs w:val="22"/>
    </w:rPr>
  </w:style>
  <w:style w:type="character" w:customStyle="1" w:styleId="132">
    <w:name w:val="页眉 Char2"/>
    <w:basedOn w:val="63"/>
    <w:semiHidden/>
    <w:qFormat/>
    <w:uiPriority w:val="0"/>
    <w:rPr>
      <w:kern w:val="2"/>
      <w:sz w:val="18"/>
      <w:szCs w:val="18"/>
    </w:rPr>
  </w:style>
  <w:style w:type="paragraph" w:customStyle="1" w:styleId="133">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34">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35">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36">
    <w:name w:val="font7"/>
    <w:basedOn w:val="1"/>
    <w:qFormat/>
    <w:uiPriority w:val="99"/>
    <w:pPr>
      <w:widowControl/>
      <w:spacing w:before="100" w:beforeAutospacing="1" w:after="100" w:afterAutospacing="1"/>
      <w:jc w:val="left"/>
    </w:pPr>
    <w:rPr>
      <w:rFonts w:ascii="宋体"/>
      <w:kern w:val="0"/>
      <w:sz w:val="18"/>
      <w:szCs w:val="18"/>
    </w:rPr>
  </w:style>
  <w:style w:type="paragraph" w:customStyle="1" w:styleId="137">
    <w:name w:val="xl64"/>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38">
    <w:name w:val="修订1"/>
    <w:qFormat/>
    <w:uiPriority w:val="0"/>
    <w:rPr>
      <w:rFonts w:ascii="Times New Roman" w:hAnsi="Times New Roman" w:eastAsia="宋体" w:cs="Times New Roman"/>
      <w:kern w:val="2"/>
      <w:sz w:val="21"/>
      <w:szCs w:val="24"/>
      <w:lang w:val="en-US" w:eastAsia="zh-CN" w:bidi="ar-SA"/>
    </w:rPr>
  </w:style>
  <w:style w:type="paragraph" w:customStyle="1" w:styleId="139">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0">
    <w:name w:val="xl6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41">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142">
    <w:name w:val="xl2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3">
    <w:name w:val="xl63"/>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44">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5">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46">
    <w:name w:val="font9"/>
    <w:basedOn w:val="1"/>
    <w:qFormat/>
    <w:uiPriority w:val="99"/>
    <w:pPr>
      <w:widowControl/>
      <w:spacing w:before="100" w:beforeAutospacing="1" w:after="100" w:afterAutospacing="1"/>
      <w:jc w:val="left"/>
    </w:pPr>
    <w:rPr>
      <w:rFonts w:ascii="宋体"/>
      <w:b/>
      <w:bCs/>
      <w:color w:val="000000"/>
      <w:kern w:val="0"/>
      <w:sz w:val="18"/>
      <w:szCs w:val="18"/>
    </w:rPr>
  </w:style>
  <w:style w:type="paragraph" w:customStyle="1" w:styleId="147">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8">
    <w:name w:val="xl52"/>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49">
    <w:name w:val="xl65"/>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50">
    <w:name w:val="xl25"/>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51">
    <w:name w:val="font6"/>
    <w:basedOn w:val="1"/>
    <w:link w:val="219"/>
    <w:qFormat/>
    <w:uiPriority w:val="0"/>
    <w:pPr>
      <w:widowControl/>
      <w:spacing w:before="100" w:beforeAutospacing="1" w:after="100" w:afterAutospacing="1"/>
      <w:jc w:val="left"/>
    </w:pPr>
    <w:rPr>
      <w:rFonts w:ascii="宋体"/>
      <w:color w:val="0000FF"/>
      <w:kern w:val="0"/>
      <w:sz w:val="24"/>
      <w:u w:val="single"/>
    </w:rPr>
  </w:style>
  <w:style w:type="paragraph" w:customStyle="1" w:styleId="152">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53">
    <w:name w:val="标题1"/>
    <w:basedOn w:val="2"/>
    <w:qFormat/>
    <w:uiPriority w:val="0"/>
    <w:pPr>
      <w:keepLines/>
      <w:autoSpaceDE/>
      <w:autoSpaceDN/>
      <w:adjustRightInd/>
      <w:spacing w:before="100" w:beforeAutospacing="1" w:after="100" w:afterAutospacing="1" w:line="240" w:lineRule="atLeast"/>
      <w:jc w:val="center"/>
    </w:pPr>
    <w:rPr>
      <w:rFonts w:ascii="Times New Roman" w:eastAsia="宋体"/>
      <w:kern w:val="2"/>
      <w:sz w:val="30"/>
      <w:szCs w:val="30"/>
      <w:lang w:val="zh-CN"/>
    </w:rPr>
  </w:style>
  <w:style w:type="paragraph" w:customStyle="1" w:styleId="154">
    <w:name w:val="p0"/>
    <w:basedOn w:val="1"/>
    <w:qFormat/>
    <w:uiPriority w:val="99"/>
    <w:pPr>
      <w:widowControl/>
    </w:pPr>
    <w:rPr>
      <w:kern w:val="0"/>
      <w:szCs w:val="21"/>
    </w:rPr>
  </w:style>
  <w:style w:type="paragraph" w:customStyle="1" w:styleId="155">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56">
    <w:name w:val="xl58"/>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57">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58">
    <w:name w:val="xl26"/>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59">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60">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61">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62">
    <w:name w:val="_Style 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64">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65">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66">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67">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68">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69">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1">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72">
    <w:name w:val="xl59"/>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73">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74">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75">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76">
    <w:name w:val="xl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77">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78">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79">
    <w:name w:val="Char13"/>
    <w:basedOn w:val="1"/>
    <w:qFormat/>
    <w:uiPriority w:val="0"/>
  </w:style>
  <w:style w:type="paragraph" w:customStyle="1" w:styleId="180">
    <w:name w:val="Char"/>
    <w:basedOn w:val="1"/>
    <w:qFormat/>
    <w:uiPriority w:val="0"/>
  </w:style>
  <w:style w:type="paragraph" w:customStyle="1" w:styleId="181">
    <w:name w:val="Char Char Char Char Char Char Char Char Char Char"/>
    <w:basedOn w:val="1"/>
    <w:qFormat/>
    <w:uiPriority w:val="0"/>
    <w:rPr>
      <w:rFonts w:ascii="Tahoma" w:hAnsi="Tahoma"/>
      <w:sz w:val="24"/>
      <w:szCs w:val="20"/>
    </w:rPr>
  </w:style>
  <w:style w:type="paragraph" w:customStyle="1" w:styleId="182">
    <w:name w:val="列出段落2"/>
    <w:basedOn w:val="1"/>
    <w:qFormat/>
    <w:uiPriority w:val="99"/>
    <w:pPr>
      <w:ind w:firstLine="420" w:firstLineChars="200"/>
    </w:pPr>
    <w:rPr>
      <w:rFonts w:asciiTheme="minorHAnsi" w:hAnsiTheme="minorHAnsi" w:eastAsiaTheme="minorEastAsia" w:cstheme="minorBidi"/>
      <w:szCs w:val="22"/>
    </w:rPr>
  </w:style>
  <w:style w:type="paragraph" w:customStyle="1" w:styleId="183">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184">
    <w:name w:val="正文缩进4格"/>
    <w:basedOn w:val="183"/>
    <w:qFormat/>
    <w:uiPriority w:val="0"/>
    <w:pPr>
      <w:ind w:left="2" w:firstLine="538" w:firstLineChars="192"/>
    </w:pPr>
    <w:rPr>
      <w:color w:val="0000FF"/>
      <w:sz w:val="28"/>
    </w:rPr>
  </w:style>
  <w:style w:type="character" w:customStyle="1" w:styleId="185">
    <w:name w:val="title_emph"/>
    <w:basedOn w:val="63"/>
    <w:qFormat/>
    <w:uiPriority w:val="0"/>
  </w:style>
  <w:style w:type="character" w:customStyle="1" w:styleId="186">
    <w:name w:val="para"/>
    <w:basedOn w:val="63"/>
    <w:qFormat/>
    <w:uiPriority w:val="0"/>
  </w:style>
  <w:style w:type="character" w:customStyle="1" w:styleId="187">
    <w:name w:val="point_normal"/>
    <w:basedOn w:val="63"/>
    <w:qFormat/>
    <w:uiPriority w:val="0"/>
  </w:style>
  <w:style w:type="character" w:customStyle="1" w:styleId="188">
    <w:name w:val="small1"/>
    <w:qFormat/>
    <w:uiPriority w:val="0"/>
    <w:rPr>
      <w:rFonts w:hint="default" w:ascii="Verdana" w:hAnsi="Verdana"/>
      <w:sz w:val="17"/>
      <w:szCs w:val="17"/>
    </w:rPr>
  </w:style>
  <w:style w:type="character" w:customStyle="1" w:styleId="189">
    <w:name w:val="v151"/>
    <w:qFormat/>
    <w:uiPriority w:val="0"/>
    <w:rPr>
      <w:spacing w:val="280"/>
      <w:sz w:val="18"/>
      <w:szCs w:val="18"/>
    </w:rPr>
  </w:style>
  <w:style w:type="character" w:customStyle="1" w:styleId="190">
    <w:name w:val="style21"/>
    <w:qFormat/>
    <w:uiPriority w:val="0"/>
    <w:rPr>
      <w:b/>
      <w:bCs/>
    </w:rPr>
  </w:style>
  <w:style w:type="character" w:customStyle="1" w:styleId="191">
    <w:name w:val="正文文本 3 Char"/>
    <w:basedOn w:val="63"/>
    <w:link w:val="21"/>
    <w:qFormat/>
    <w:uiPriority w:val="0"/>
    <w:rPr>
      <w:rFonts w:ascii="宋体" w:hAnsi="宋体"/>
      <w:b/>
      <w:spacing w:val="60"/>
      <w:kern w:val="2"/>
      <w:sz w:val="44"/>
      <w:szCs w:val="72"/>
    </w:rPr>
  </w:style>
  <w:style w:type="paragraph" w:customStyle="1" w:styleId="192">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9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96">
    <w:name w:val="正文缩进 Char"/>
    <w:link w:val="15"/>
    <w:qFormat/>
    <w:uiPriority w:val="0"/>
    <w:rPr>
      <w:rFonts w:ascii="宋体"/>
      <w:kern w:val="2"/>
      <w:sz w:val="21"/>
    </w:rPr>
  </w:style>
  <w:style w:type="paragraph" w:customStyle="1" w:styleId="197">
    <w:name w:val="样式 样式 首行缩进:  2 字符 段前: 4.65 磅 + 首行缩进:  2 字符"/>
    <w:basedOn w:val="1"/>
    <w:qFormat/>
    <w:uiPriority w:val="0"/>
    <w:pPr>
      <w:topLinePunct/>
      <w:spacing w:before="93" w:line="360" w:lineRule="auto"/>
      <w:ind w:firstLine="480" w:firstLineChars="200"/>
    </w:pPr>
    <w:rPr>
      <w:rFonts w:cs="宋体"/>
      <w:sz w:val="24"/>
      <w:szCs w:val="20"/>
    </w:rPr>
  </w:style>
  <w:style w:type="character" w:customStyle="1" w:styleId="198">
    <w:name w:val="标题 2 Char1"/>
    <w:qFormat/>
    <w:uiPriority w:val="0"/>
    <w:rPr>
      <w:rFonts w:ascii="Arial" w:hAnsi="Arial" w:eastAsia="宋体"/>
      <w:b/>
      <w:sz w:val="30"/>
      <w:lang w:val="en-US" w:eastAsia="zh-CN" w:bidi="ar-SA"/>
    </w:rPr>
  </w:style>
  <w:style w:type="character" w:customStyle="1" w:styleId="199">
    <w:name w:val="正文缩进 Char Char"/>
    <w:qFormat/>
    <w:uiPriority w:val="0"/>
    <w:rPr>
      <w:kern w:val="2"/>
      <w:sz w:val="21"/>
      <w:szCs w:val="24"/>
      <w:lang w:bidi="ar-SA"/>
    </w:rPr>
  </w:style>
  <w:style w:type="paragraph" w:customStyle="1" w:styleId="200">
    <w:name w:val="抬头"/>
    <w:basedOn w:val="1"/>
    <w:qFormat/>
    <w:uiPriority w:val="0"/>
    <w:pPr>
      <w:spacing w:beforeLines="50" w:line="360" w:lineRule="auto"/>
    </w:pPr>
    <w:rPr>
      <w:rFonts w:ascii="宋体"/>
      <w:sz w:val="24"/>
    </w:rPr>
  </w:style>
  <w:style w:type="character" w:customStyle="1" w:styleId="201">
    <w:name w:val="标书正文格式 Char"/>
    <w:link w:val="202"/>
    <w:qFormat/>
    <w:uiPriority w:val="0"/>
    <w:rPr>
      <w:sz w:val="28"/>
      <w:szCs w:val="28"/>
    </w:rPr>
  </w:style>
  <w:style w:type="paragraph" w:customStyle="1" w:styleId="202">
    <w:name w:val="标书正文格式"/>
    <w:link w:val="201"/>
    <w:qFormat/>
    <w:uiPriority w:val="0"/>
    <w:pPr>
      <w:ind w:firstLine="200" w:firstLineChars="200"/>
    </w:pPr>
    <w:rPr>
      <w:rFonts w:ascii="Times New Roman" w:hAnsi="Times New Roman" w:eastAsia="宋体" w:cs="Times New Roman"/>
      <w:sz w:val="28"/>
      <w:szCs w:val="28"/>
      <w:lang w:val="en-US" w:eastAsia="zh-CN" w:bidi="ar-SA"/>
    </w:rPr>
  </w:style>
  <w:style w:type="paragraph" w:customStyle="1" w:styleId="203">
    <w:name w:val="正文首行缩进1"/>
    <w:basedOn w:val="23"/>
    <w:qFormat/>
    <w:uiPriority w:val="0"/>
    <w:pPr>
      <w:ind w:firstLine="420" w:firstLineChars="100"/>
    </w:pPr>
    <w:rPr>
      <w:kern w:val="2"/>
      <w:sz w:val="21"/>
    </w:rPr>
  </w:style>
  <w:style w:type="paragraph" w:customStyle="1" w:styleId="204">
    <w:name w:val="纯文本1"/>
    <w:basedOn w:val="1"/>
    <w:qFormat/>
    <w:uiPriority w:val="0"/>
    <w:rPr>
      <w:rFonts w:ascii="宋体" w:hAnsi="Courier New" w:cs="Courier New"/>
      <w:szCs w:val="21"/>
    </w:rPr>
  </w:style>
  <w:style w:type="paragraph" w:customStyle="1" w:styleId="205">
    <w:name w:val="列出段落3"/>
    <w:basedOn w:val="1"/>
    <w:qFormat/>
    <w:uiPriority w:val="99"/>
    <w:pPr>
      <w:ind w:firstLine="420" w:firstLineChars="200"/>
    </w:pPr>
  </w:style>
  <w:style w:type="paragraph" w:customStyle="1" w:styleId="206">
    <w:name w:val="列出段落4"/>
    <w:basedOn w:val="1"/>
    <w:qFormat/>
    <w:uiPriority w:val="0"/>
    <w:pPr>
      <w:ind w:firstLine="420" w:firstLineChars="200"/>
    </w:pPr>
    <w:rPr>
      <w:szCs w:val="20"/>
    </w:rPr>
  </w:style>
  <w:style w:type="paragraph" w:customStyle="1" w:styleId="207">
    <w:name w:val="样式（1）"/>
    <w:basedOn w:val="206"/>
    <w:qFormat/>
    <w:uiPriority w:val="0"/>
    <w:pPr>
      <w:numPr>
        <w:ilvl w:val="0"/>
        <w:numId w:val="3"/>
      </w:numPr>
      <w:spacing w:line="360" w:lineRule="auto"/>
      <w:ind w:left="0" w:firstLine="0" w:firstLineChars="0"/>
    </w:pPr>
    <w:rPr>
      <w:rFonts w:ascii="宋体" w:hAnsi="宋体" w:eastAsia="微软雅黑"/>
      <w:sz w:val="24"/>
      <w:szCs w:val="21"/>
    </w:rPr>
  </w:style>
  <w:style w:type="table" w:customStyle="1" w:styleId="208">
    <w:name w:val="TableGrid"/>
    <w:qFormat/>
    <w:uiPriority w:val="0"/>
    <w:tblPr>
      <w:tblCellMar>
        <w:top w:w="0" w:type="dxa"/>
        <w:left w:w="0" w:type="dxa"/>
        <w:bottom w:w="0" w:type="dxa"/>
        <w:right w:w="0" w:type="dxa"/>
      </w:tblCellMar>
    </w:tblPr>
  </w:style>
  <w:style w:type="paragraph" w:customStyle="1" w:styleId="209">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10">
    <w:name w:val="List Paragraph"/>
    <w:basedOn w:val="1"/>
    <w:link w:val="255"/>
    <w:unhideWhenUsed/>
    <w:qFormat/>
    <w:uiPriority w:val="0"/>
    <w:pPr>
      <w:ind w:firstLine="420" w:firstLineChars="200"/>
    </w:pPr>
  </w:style>
  <w:style w:type="character" w:customStyle="1" w:styleId="211">
    <w:name w:val="标题 6 Char"/>
    <w:basedOn w:val="63"/>
    <w:link w:val="7"/>
    <w:qFormat/>
    <w:uiPriority w:val="0"/>
    <w:rPr>
      <w:rFonts w:ascii="仿宋_GB2312" w:hAnsi="宋体" w:eastAsia="仿宋_GB2312"/>
      <w:b/>
      <w:bCs/>
      <w:sz w:val="22"/>
      <w:szCs w:val="22"/>
      <w:lang w:bidi="en-US"/>
    </w:rPr>
  </w:style>
  <w:style w:type="character" w:customStyle="1" w:styleId="212">
    <w:name w:val="标题 7 Char"/>
    <w:basedOn w:val="63"/>
    <w:link w:val="8"/>
    <w:qFormat/>
    <w:uiPriority w:val="0"/>
    <w:rPr>
      <w:rFonts w:ascii="仿宋_GB2312" w:hAnsi="宋体" w:eastAsia="仿宋_GB2312"/>
      <w:sz w:val="21"/>
      <w:szCs w:val="21"/>
      <w:lang w:bidi="en-US"/>
    </w:rPr>
  </w:style>
  <w:style w:type="character" w:customStyle="1" w:styleId="213">
    <w:name w:val="标题 8 Char"/>
    <w:basedOn w:val="63"/>
    <w:link w:val="9"/>
    <w:qFormat/>
    <w:uiPriority w:val="0"/>
    <w:rPr>
      <w:rFonts w:ascii="仿宋_GB2312" w:hAnsi="宋体" w:eastAsia="仿宋_GB2312"/>
      <w:i/>
      <w:iCs/>
      <w:sz w:val="21"/>
      <w:szCs w:val="21"/>
      <w:lang w:bidi="en-US"/>
    </w:rPr>
  </w:style>
  <w:style w:type="character" w:customStyle="1" w:styleId="214">
    <w:name w:val="标题 9 Char"/>
    <w:basedOn w:val="63"/>
    <w:link w:val="10"/>
    <w:qFormat/>
    <w:uiPriority w:val="0"/>
    <w:rPr>
      <w:rFonts w:ascii="Cambria" w:hAnsi="Cambria"/>
      <w:sz w:val="22"/>
      <w:szCs w:val="22"/>
      <w:lang w:bidi="en-US"/>
    </w:rPr>
  </w:style>
  <w:style w:type="character" w:customStyle="1" w:styleId="215">
    <w:name w:val="副标题 Char"/>
    <w:link w:val="42"/>
    <w:qFormat/>
    <w:uiPriority w:val="0"/>
    <w:rPr>
      <w:rFonts w:ascii="Cambria" w:hAnsi="Cambria"/>
      <w:sz w:val="21"/>
      <w:szCs w:val="21"/>
      <w:lang w:bidi="en-US"/>
    </w:rPr>
  </w:style>
  <w:style w:type="character" w:customStyle="1" w:styleId="216">
    <w:name w:val="Char Char6"/>
    <w:qFormat/>
    <w:locked/>
    <w:uiPriority w:val="0"/>
    <w:rPr>
      <w:rFonts w:eastAsia="仿宋"/>
      <w:b/>
      <w:bCs/>
      <w:kern w:val="2"/>
      <w:sz w:val="24"/>
      <w:szCs w:val="32"/>
      <w:lang w:val="en-US" w:eastAsia="zh-CN" w:bidi="ar-SA"/>
    </w:rPr>
  </w:style>
  <w:style w:type="character" w:customStyle="1" w:styleId="217">
    <w:name w:val="标题章节2 Char"/>
    <w:link w:val="218"/>
    <w:qFormat/>
    <w:uiPriority w:val="0"/>
    <w:rPr>
      <w:rFonts w:ascii="黑体" w:hAnsi="Calibri" w:eastAsia="黑体"/>
      <w:b/>
      <w:bCs/>
      <w:color w:val="000000"/>
      <w:kern w:val="2"/>
      <w:sz w:val="30"/>
      <w:szCs w:val="30"/>
    </w:rPr>
  </w:style>
  <w:style w:type="paragraph" w:customStyle="1" w:styleId="218">
    <w:name w:val="标题章节2"/>
    <w:basedOn w:val="4"/>
    <w:link w:val="217"/>
    <w:qFormat/>
    <w:uiPriority w:val="0"/>
    <w:pPr>
      <w:keepLines w:val="0"/>
      <w:widowControl/>
      <w:spacing w:before="240" w:after="60"/>
      <w:ind w:firstLine="420"/>
    </w:pPr>
    <w:rPr>
      <w:rFonts w:ascii="黑体" w:hAnsi="Calibri" w:eastAsia="黑体"/>
      <w:color w:val="000000"/>
      <w:kern w:val="2"/>
      <w:sz w:val="30"/>
      <w:szCs w:val="30"/>
    </w:rPr>
  </w:style>
  <w:style w:type="character" w:customStyle="1" w:styleId="219">
    <w:name w:val="font6 Char"/>
    <w:link w:val="151"/>
    <w:qFormat/>
    <w:uiPriority w:val="0"/>
    <w:rPr>
      <w:rFonts w:ascii="宋体"/>
      <w:color w:val="0000FF"/>
      <w:sz w:val="24"/>
      <w:szCs w:val="24"/>
      <w:u w:val="single"/>
    </w:rPr>
  </w:style>
  <w:style w:type="character" w:customStyle="1" w:styleId="220">
    <w:name w:val="上标"/>
    <w:qFormat/>
    <w:uiPriority w:val="0"/>
    <w:rPr>
      <w:rFonts w:ascii="宋体" w:hAnsi="宋体" w:eastAsia="宋体" w:cs="宋体"/>
      <w:vertAlign w:val="superscript"/>
    </w:rPr>
  </w:style>
  <w:style w:type="character" w:customStyle="1" w:styleId="221">
    <w:name w:val="正文标题小四 Char"/>
    <w:link w:val="222"/>
    <w:qFormat/>
    <w:uiPriority w:val="0"/>
    <w:rPr>
      <w:rFonts w:ascii="黑体" w:hAnsi="黑体" w:eastAsia="黑体"/>
      <w:b/>
      <w:kern w:val="2"/>
      <w:sz w:val="24"/>
      <w:szCs w:val="24"/>
    </w:rPr>
  </w:style>
  <w:style w:type="paragraph" w:customStyle="1" w:styleId="222">
    <w:name w:val="正文标题小四"/>
    <w:basedOn w:val="223"/>
    <w:link w:val="221"/>
    <w:qFormat/>
    <w:uiPriority w:val="0"/>
    <w:pPr>
      <w:ind w:firstLine="200"/>
    </w:pPr>
    <w:rPr>
      <w:sz w:val="24"/>
      <w:szCs w:val="24"/>
    </w:rPr>
  </w:style>
  <w:style w:type="paragraph" w:customStyle="1" w:styleId="223">
    <w:name w:val="正文标题"/>
    <w:basedOn w:val="1"/>
    <w:link w:val="238"/>
    <w:qFormat/>
    <w:uiPriority w:val="0"/>
    <w:pPr>
      <w:widowControl/>
      <w:spacing w:line="360" w:lineRule="auto"/>
      <w:ind w:firstLine="420" w:firstLineChars="200"/>
      <w:jc w:val="left"/>
    </w:pPr>
    <w:rPr>
      <w:rFonts w:ascii="黑体" w:hAnsi="黑体" w:eastAsia="黑体"/>
      <w:b/>
      <w:sz w:val="28"/>
      <w:szCs w:val="28"/>
    </w:rPr>
  </w:style>
  <w:style w:type="character" w:customStyle="1" w:styleId="224">
    <w:name w:val="font14 Char"/>
    <w:link w:val="225"/>
    <w:qFormat/>
    <w:uiPriority w:val="0"/>
    <w:rPr>
      <w:rFonts w:ascii="宋体" w:hAnsi="宋体"/>
      <w:sz w:val="28"/>
      <w:szCs w:val="28"/>
    </w:rPr>
  </w:style>
  <w:style w:type="paragraph" w:customStyle="1" w:styleId="225">
    <w:name w:val="font14"/>
    <w:basedOn w:val="1"/>
    <w:link w:val="224"/>
    <w:qFormat/>
    <w:uiPriority w:val="0"/>
    <w:pPr>
      <w:widowControl/>
      <w:spacing w:before="100" w:beforeAutospacing="1" w:after="100" w:afterAutospacing="1"/>
      <w:jc w:val="left"/>
    </w:pPr>
    <w:rPr>
      <w:rFonts w:ascii="宋体" w:hAnsi="宋体"/>
      <w:kern w:val="0"/>
      <w:sz w:val="28"/>
      <w:szCs w:val="28"/>
    </w:rPr>
  </w:style>
  <w:style w:type="character" w:customStyle="1" w:styleId="226">
    <w:name w:val="明显参考1"/>
    <w:qFormat/>
    <w:uiPriority w:val="0"/>
    <w:rPr>
      <w:b/>
      <w:sz w:val="24"/>
      <w:u w:val="single"/>
    </w:rPr>
  </w:style>
  <w:style w:type="character" w:customStyle="1" w:styleId="227">
    <w:name w:val="不明显强调1"/>
    <w:qFormat/>
    <w:uiPriority w:val="0"/>
    <w:rPr>
      <w:i/>
      <w:color w:val="5A5A5A"/>
    </w:rPr>
  </w:style>
  <w:style w:type="character" w:customStyle="1" w:styleId="228">
    <w:name w:val="apple-converted-space"/>
    <w:basedOn w:val="63"/>
    <w:qFormat/>
    <w:uiPriority w:val="0"/>
  </w:style>
  <w:style w:type="character" w:customStyle="1" w:styleId="229">
    <w:name w:val="text31"/>
    <w:qFormat/>
    <w:uiPriority w:val="0"/>
    <w:rPr>
      <w:rFonts w:hint="eastAsia" w:ascii="宋体" w:hAnsi="宋体" w:eastAsia="宋体"/>
      <w:color w:val="673434"/>
      <w:sz w:val="22"/>
      <w:szCs w:val="22"/>
      <w:u w:val="none"/>
    </w:rPr>
  </w:style>
  <w:style w:type="character" w:customStyle="1" w:styleId="230">
    <w:name w:val="无间隔 Char"/>
    <w:link w:val="231"/>
    <w:qFormat/>
    <w:uiPriority w:val="0"/>
    <w:rPr>
      <w:rFonts w:ascii="仿宋_GB2312" w:hAnsi="宋体" w:eastAsia="仿宋_GB2312"/>
      <w:sz w:val="21"/>
      <w:szCs w:val="32"/>
      <w:lang w:bidi="en-US"/>
    </w:rPr>
  </w:style>
  <w:style w:type="paragraph" w:styleId="231">
    <w:name w:val="No Spacing"/>
    <w:basedOn w:val="1"/>
    <w:link w:val="230"/>
    <w:qFormat/>
    <w:uiPriority w:val="0"/>
    <w:pPr>
      <w:widowControl/>
      <w:spacing w:line="360" w:lineRule="auto"/>
      <w:ind w:firstLine="420" w:firstLineChars="200"/>
      <w:jc w:val="left"/>
    </w:pPr>
    <w:rPr>
      <w:rFonts w:ascii="仿宋_GB2312" w:hAnsi="宋体" w:eastAsia="仿宋_GB2312"/>
      <w:kern w:val="0"/>
      <w:szCs w:val="32"/>
      <w:lang w:bidi="en-US"/>
    </w:rPr>
  </w:style>
  <w:style w:type="character" w:customStyle="1" w:styleId="232">
    <w:name w:val="正文文字 Char"/>
    <w:link w:val="233"/>
    <w:qFormat/>
    <w:uiPriority w:val="0"/>
    <w:rPr>
      <w:rFonts w:ascii="宋体" w:hAnsi="宋体"/>
      <w:color w:val="0000FF"/>
      <w:sz w:val="24"/>
      <w:szCs w:val="24"/>
    </w:rPr>
  </w:style>
  <w:style w:type="paragraph" w:customStyle="1" w:styleId="233">
    <w:name w:val="正文文字"/>
    <w:basedOn w:val="1"/>
    <w:next w:val="1"/>
    <w:link w:val="232"/>
    <w:qFormat/>
    <w:uiPriority w:val="0"/>
    <w:pPr>
      <w:tabs>
        <w:tab w:val="right" w:pos="8312"/>
      </w:tabs>
      <w:snapToGrid w:val="0"/>
      <w:spacing w:line="360" w:lineRule="auto"/>
      <w:ind w:firstLine="480" w:firstLineChars="200"/>
    </w:pPr>
    <w:rPr>
      <w:rFonts w:ascii="宋体" w:hAnsi="宋体"/>
      <w:color w:val="0000FF"/>
      <w:kern w:val="0"/>
      <w:sz w:val="24"/>
    </w:rPr>
  </w:style>
  <w:style w:type="character" w:customStyle="1" w:styleId="234">
    <w:name w:val="2级 Char"/>
    <w:link w:val="235"/>
    <w:qFormat/>
    <w:uiPriority w:val="0"/>
    <w:rPr>
      <w:rFonts w:ascii="仿宋_GB2312" w:hAnsi="Arial Unicode MS" w:eastAsia="仿宋_GB2312"/>
      <w:b/>
      <w:kern w:val="2"/>
      <w:sz w:val="24"/>
      <w:szCs w:val="21"/>
    </w:rPr>
  </w:style>
  <w:style w:type="paragraph" w:customStyle="1" w:styleId="235">
    <w:name w:val="2级"/>
    <w:basedOn w:val="236"/>
    <w:link w:val="234"/>
    <w:qFormat/>
    <w:uiPriority w:val="0"/>
    <w:pPr>
      <w:ind w:firstLine="422"/>
      <w:outlineLvl w:val="1"/>
    </w:pPr>
    <w:rPr>
      <w:rFonts w:ascii="仿宋_GB2312" w:eastAsia="仿宋_GB2312"/>
      <w:szCs w:val="21"/>
    </w:rPr>
  </w:style>
  <w:style w:type="paragraph" w:customStyle="1" w:styleId="236">
    <w:name w:val="正文标题1"/>
    <w:basedOn w:val="222"/>
    <w:link w:val="239"/>
    <w:qFormat/>
    <w:uiPriority w:val="0"/>
    <w:pPr>
      <w:ind w:firstLine="480"/>
    </w:pPr>
    <w:rPr>
      <w:rFonts w:ascii="Arial Unicode MS" w:hAnsi="Arial Unicode MS" w:eastAsia="仿宋"/>
    </w:rPr>
  </w:style>
  <w:style w:type="character" w:customStyle="1" w:styleId="237">
    <w:name w:val="标题 Char"/>
    <w:link w:val="55"/>
    <w:qFormat/>
    <w:uiPriority w:val="99"/>
    <w:rPr>
      <w:rFonts w:ascii="Cambria" w:hAnsi="Cambria"/>
      <w:b/>
      <w:bCs/>
      <w:kern w:val="28"/>
      <w:sz w:val="32"/>
      <w:szCs w:val="32"/>
      <w:lang w:bidi="en-US"/>
    </w:rPr>
  </w:style>
  <w:style w:type="character" w:customStyle="1" w:styleId="238">
    <w:name w:val="正文标题 Char"/>
    <w:link w:val="223"/>
    <w:qFormat/>
    <w:uiPriority w:val="0"/>
    <w:rPr>
      <w:rFonts w:ascii="黑体" w:hAnsi="黑体" w:eastAsia="黑体"/>
      <w:b/>
      <w:kern w:val="2"/>
      <w:sz w:val="28"/>
      <w:szCs w:val="28"/>
    </w:rPr>
  </w:style>
  <w:style w:type="character" w:customStyle="1" w:styleId="239">
    <w:name w:val="正文标题1 Char"/>
    <w:link w:val="236"/>
    <w:qFormat/>
    <w:uiPriority w:val="0"/>
    <w:rPr>
      <w:rFonts w:ascii="Arial Unicode MS" w:hAnsi="Arial Unicode MS" w:eastAsia="仿宋"/>
      <w:b/>
      <w:kern w:val="2"/>
      <w:sz w:val="24"/>
      <w:szCs w:val="24"/>
    </w:rPr>
  </w:style>
  <w:style w:type="character" w:customStyle="1" w:styleId="240">
    <w:name w:val="标准范本正文 Char"/>
    <w:link w:val="241"/>
    <w:qFormat/>
    <w:uiPriority w:val="0"/>
    <w:rPr>
      <w:rFonts w:ascii="仿宋_GB2312" w:hAnsi="宋体" w:eastAsia="仿宋_GB2312"/>
      <w:sz w:val="21"/>
      <w:szCs w:val="21"/>
      <w:lang w:bidi="en-US"/>
    </w:rPr>
  </w:style>
  <w:style w:type="paragraph" w:customStyle="1" w:styleId="241">
    <w:name w:val="标准范本正文"/>
    <w:basedOn w:val="1"/>
    <w:link w:val="240"/>
    <w:qFormat/>
    <w:uiPriority w:val="0"/>
    <w:pPr>
      <w:widowControl/>
      <w:spacing w:line="360" w:lineRule="auto"/>
      <w:ind w:firstLine="437" w:firstLineChars="200"/>
      <w:jc w:val="left"/>
    </w:pPr>
    <w:rPr>
      <w:rFonts w:ascii="仿宋_GB2312" w:hAnsi="宋体" w:eastAsia="仿宋_GB2312"/>
      <w:kern w:val="0"/>
      <w:szCs w:val="21"/>
      <w:lang w:bidi="en-US"/>
    </w:rPr>
  </w:style>
  <w:style w:type="character" w:customStyle="1" w:styleId="242">
    <w:name w:val="引用 Char"/>
    <w:link w:val="243"/>
    <w:qFormat/>
    <w:uiPriority w:val="0"/>
    <w:rPr>
      <w:rFonts w:ascii="仿宋_GB2312" w:hAnsi="宋体" w:eastAsia="仿宋_GB2312"/>
      <w:i/>
      <w:sz w:val="21"/>
      <w:szCs w:val="21"/>
      <w:lang w:bidi="en-US"/>
    </w:rPr>
  </w:style>
  <w:style w:type="paragraph" w:styleId="243">
    <w:name w:val="Quote"/>
    <w:basedOn w:val="1"/>
    <w:next w:val="1"/>
    <w:link w:val="242"/>
    <w:qFormat/>
    <w:uiPriority w:val="0"/>
    <w:pPr>
      <w:widowControl/>
      <w:spacing w:line="360" w:lineRule="auto"/>
      <w:ind w:firstLine="420" w:firstLineChars="200"/>
      <w:jc w:val="left"/>
    </w:pPr>
    <w:rPr>
      <w:rFonts w:ascii="仿宋_GB2312" w:hAnsi="宋体" w:eastAsia="仿宋_GB2312"/>
      <w:i/>
      <w:kern w:val="0"/>
      <w:szCs w:val="21"/>
      <w:lang w:bidi="en-US"/>
    </w:rPr>
  </w:style>
  <w:style w:type="character" w:customStyle="1" w:styleId="244">
    <w:name w:val="明显引用 Char"/>
    <w:link w:val="245"/>
    <w:qFormat/>
    <w:uiPriority w:val="0"/>
    <w:rPr>
      <w:rFonts w:ascii="仿宋_GB2312" w:hAnsi="宋体" w:eastAsia="仿宋_GB2312"/>
      <w:b/>
      <w:i/>
      <w:sz w:val="21"/>
      <w:szCs w:val="22"/>
      <w:lang w:bidi="en-US"/>
    </w:rPr>
  </w:style>
  <w:style w:type="paragraph" w:styleId="245">
    <w:name w:val="Intense Quote"/>
    <w:basedOn w:val="1"/>
    <w:next w:val="1"/>
    <w:link w:val="244"/>
    <w:qFormat/>
    <w:uiPriority w:val="0"/>
    <w:pPr>
      <w:widowControl/>
      <w:spacing w:line="360" w:lineRule="auto"/>
      <w:ind w:left="720" w:right="720" w:firstLine="420" w:firstLineChars="200"/>
      <w:jc w:val="left"/>
    </w:pPr>
    <w:rPr>
      <w:rFonts w:ascii="仿宋_GB2312" w:hAnsi="宋体" w:eastAsia="仿宋_GB2312"/>
      <w:b/>
      <w:i/>
      <w:kern w:val="0"/>
      <w:szCs w:val="22"/>
      <w:lang w:bidi="en-US"/>
    </w:rPr>
  </w:style>
  <w:style w:type="character" w:customStyle="1" w:styleId="246">
    <w:name w:val="明显强调1"/>
    <w:qFormat/>
    <w:uiPriority w:val="0"/>
    <w:rPr>
      <w:b/>
      <w:i/>
      <w:sz w:val="24"/>
      <w:szCs w:val="24"/>
      <w:u w:val="single"/>
    </w:rPr>
  </w:style>
  <w:style w:type="character" w:customStyle="1" w:styleId="247">
    <w:name w:val="不明显参考1"/>
    <w:qFormat/>
    <w:uiPriority w:val="0"/>
    <w:rPr>
      <w:sz w:val="24"/>
      <w:szCs w:val="24"/>
      <w:u w:val="single"/>
    </w:rPr>
  </w:style>
  <w:style w:type="character" w:customStyle="1" w:styleId="248">
    <w:name w:val="书籍标题1"/>
    <w:qFormat/>
    <w:uiPriority w:val="0"/>
    <w:rPr>
      <w:rFonts w:ascii="Cambria" w:hAnsi="Cambria" w:eastAsia="宋体"/>
      <w:b/>
      <w:i/>
      <w:sz w:val="24"/>
      <w:szCs w:val="24"/>
    </w:rPr>
  </w:style>
  <w:style w:type="character" w:customStyle="1" w:styleId="249">
    <w:name w:val="正文缩进2字符 Char1"/>
    <w:qFormat/>
    <w:uiPriority w:val="0"/>
    <w:rPr>
      <w:rFonts w:eastAsia="宋体"/>
      <w:kern w:val="2"/>
      <w:sz w:val="28"/>
      <w:szCs w:val="28"/>
      <w:lang w:val="en-US" w:eastAsia="zh-CN" w:bidi="ar-SA"/>
    </w:rPr>
  </w:style>
  <w:style w:type="character" w:customStyle="1" w:styleId="250">
    <w:name w:val="表格样式2 Char"/>
    <w:link w:val="251"/>
    <w:qFormat/>
    <w:uiPriority w:val="0"/>
    <w:rPr>
      <w:rFonts w:ascii="仿宋_GB2312" w:hAnsi="宋体" w:eastAsia="仿宋_GB2312"/>
      <w:sz w:val="18"/>
      <w:szCs w:val="18"/>
      <w:lang w:bidi="en-US"/>
    </w:rPr>
  </w:style>
  <w:style w:type="paragraph" w:customStyle="1" w:styleId="251">
    <w:name w:val="表格样式2"/>
    <w:basedOn w:val="1"/>
    <w:link w:val="250"/>
    <w:qFormat/>
    <w:uiPriority w:val="0"/>
    <w:pPr>
      <w:widowControl/>
      <w:spacing w:line="276" w:lineRule="auto"/>
      <w:jc w:val="left"/>
    </w:pPr>
    <w:rPr>
      <w:rFonts w:ascii="仿宋_GB2312" w:hAnsi="宋体" w:eastAsia="仿宋_GB2312"/>
      <w:kern w:val="0"/>
      <w:sz w:val="18"/>
      <w:szCs w:val="18"/>
      <w:lang w:bidi="en-US"/>
    </w:rPr>
  </w:style>
  <w:style w:type="character" w:customStyle="1" w:styleId="252">
    <w:name w:val="表格样式3 Char"/>
    <w:link w:val="253"/>
    <w:qFormat/>
    <w:uiPriority w:val="0"/>
    <w:rPr>
      <w:rFonts w:ascii="仿宋_GB2312" w:hAnsi="宋体" w:eastAsia="仿宋_GB2312"/>
      <w:b/>
      <w:sz w:val="18"/>
      <w:szCs w:val="18"/>
      <w:lang w:bidi="en-US"/>
    </w:rPr>
  </w:style>
  <w:style w:type="paragraph" w:customStyle="1" w:styleId="253">
    <w:name w:val="表格样式3"/>
    <w:basedOn w:val="251"/>
    <w:link w:val="252"/>
    <w:qFormat/>
    <w:uiPriority w:val="0"/>
    <w:pPr>
      <w:framePr w:hSpace="180" w:wrap="around" w:vAnchor="text" w:hAnchor="margin" w:y="195"/>
      <w:jc w:val="center"/>
    </w:pPr>
    <w:rPr>
      <w:b/>
    </w:rPr>
  </w:style>
  <w:style w:type="character" w:customStyle="1" w:styleId="254">
    <w:name w:val="Default Char"/>
    <w:link w:val="127"/>
    <w:qFormat/>
    <w:uiPriority w:val="0"/>
    <w:rPr>
      <w:rFonts w:ascii="......." w:hAnsi="......." w:eastAsia="......." w:cs="......."/>
      <w:color w:val="000000"/>
      <w:sz w:val="24"/>
      <w:szCs w:val="24"/>
    </w:rPr>
  </w:style>
  <w:style w:type="character" w:customStyle="1" w:styleId="255">
    <w:name w:val="列出段落 Char"/>
    <w:link w:val="210"/>
    <w:qFormat/>
    <w:uiPriority w:val="0"/>
    <w:rPr>
      <w:kern w:val="2"/>
      <w:sz w:val="21"/>
      <w:szCs w:val="24"/>
    </w:rPr>
  </w:style>
  <w:style w:type="character" w:customStyle="1" w:styleId="256">
    <w:name w:val="样式 黑体 小四 自定义颜色(RGB(1500))"/>
    <w:qFormat/>
    <w:uiPriority w:val="0"/>
    <w:rPr>
      <w:rFonts w:ascii="Times New Roman" w:hAnsi="Times New Roman" w:eastAsia="黑体"/>
      <w:color w:val="0F0000"/>
      <w:kern w:val="0"/>
      <w:sz w:val="24"/>
      <w:szCs w:val="24"/>
    </w:rPr>
  </w:style>
  <w:style w:type="character" w:customStyle="1" w:styleId="257">
    <w:name w:val="脚注文本 Char"/>
    <w:link w:val="44"/>
    <w:qFormat/>
    <w:uiPriority w:val="99"/>
    <w:rPr>
      <w:kern w:val="2"/>
      <w:sz w:val="18"/>
      <w:szCs w:val="18"/>
    </w:rPr>
  </w:style>
  <w:style w:type="character" w:customStyle="1" w:styleId="258">
    <w:name w:val="Char Char62"/>
    <w:qFormat/>
    <w:uiPriority w:val="0"/>
    <w:rPr>
      <w:rFonts w:ascii="黑体" w:hAnsi="宋体" w:eastAsia="黑体"/>
      <w:bCs/>
      <w:kern w:val="2"/>
      <w:sz w:val="28"/>
      <w:szCs w:val="28"/>
      <w:lang w:val="en-US" w:eastAsia="zh-CN" w:bidi="ar-SA"/>
    </w:rPr>
  </w:style>
  <w:style w:type="character" w:customStyle="1" w:styleId="259">
    <w:name w:val="样式3-1 Char"/>
    <w:link w:val="260"/>
    <w:qFormat/>
    <w:uiPriority w:val="0"/>
    <w:rPr>
      <w:rFonts w:ascii="Arial" w:hAnsi="Arial" w:eastAsia="黑体" w:cs="Arial"/>
      <w:b/>
      <w:bCs/>
      <w:color w:val="000000"/>
      <w:sz w:val="32"/>
      <w:szCs w:val="32"/>
    </w:rPr>
  </w:style>
  <w:style w:type="paragraph" w:customStyle="1" w:styleId="260">
    <w:name w:val="样式3-1"/>
    <w:basedOn w:val="1"/>
    <w:link w:val="259"/>
    <w:qFormat/>
    <w:uiPriority w:val="0"/>
    <w:pPr>
      <w:autoSpaceDE w:val="0"/>
      <w:autoSpaceDN w:val="0"/>
      <w:adjustRightInd w:val="0"/>
      <w:snapToGrid w:val="0"/>
      <w:spacing w:beforeLines="50" w:afterLines="50"/>
      <w:jc w:val="left"/>
      <w:outlineLvl w:val="2"/>
    </w:pPr>
    <w:rPr>
      <w:rFonts w:ascii="Arial" w:hAnsi="Arial" w:eastAsia="黑体" w:cs="Arial"/>
      <w:b/>
      <w:bCs/>
      <w:color w:val="000000"/>
      <w:kern w:val="0"/>
      <w:sz w:val="32"/>
      <w:szCs w:val="32"/>
    </w:rPr>
  </w:style>
  <w:style w:type="character" w:customStyle="1" w:styleId="261">
    <w:name w:val="param_td12"/>
    <w:basedOn w:val="63"/>
    <w:qFormat/>
    <w:uiPriority w:val="0"/>
  </w:style>
  <w:style w:type="character" w:customStyle="1" w:styleId="262">
    <w:name w:val="尾注文本 Char"/>
    <w:link w:val="36"/>
    <w:qFormat/>
    <w:uiPriority w:val="99"/>
    <w:rPr>
      <w:kern w:val="2"/>
      <w:sz w:val="21"/>
    </w:rPr>
  </w:style>
  <w:style w:type="character" w:customStyle="1" w:styleId="263">
    <w:name w:val="t_tag"/>
    <w:basedOn w:val="63"/>
    <w:qFormat/>
    <w:uiPriority w:val="0"/>
  </w:style>
  <w:style w:type="character" w:customStyle="1" w:styleId="264">
    <w:name w:val="Normal Char"/>
    <w:link w:val="265"/>
    <w:qFormat/>
    <w:uiPriority w:val="0"/>
    <w:rPr>
      <w:rFonts w:ascii="宋体"/>
      <w:sz w:val="24"/>
    </w:rPr>
  </w:style>
  <w:style w:type="paragraph" w:customStyle="1" w:styleId="265">
    <w:name w:val="正文3"/>
    <w:link w:val="264"/>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266">
    <w:name w:val="ca-0"/>
    <w:basedOn w:val="63"/>
    <w:qFormat/>
    <w:uiPriority w:val="0"/>
  </w:style>
  <w:style w:type="character" w:customStyle="1" w:styleId="267">
    <w:name w:val="viewcount2"/>
    <w:qFormat/>
    <w:uiPriority w:val="0"/>
  </w:style>
  <w:style w:type="character" w:customStyle="1" w:styleId="268">
    <w:name w:val="apple-style-span"/>
    <w:basedOn w:val="63"/>
    <w:qFormat/>
    <w:uiPriority w:val="0"/>
  </w:style>
  <w:style w:type="character" w:customStyle="1" w:styleId="269">
    <w:name w:val="case31"/>
    <w:qFormat/>
    <w:uiPriority w:val="0"/>
    <w:rPr>
      <w:rFonts w:hint="default" w:ascii="ˎ̥" w:hAnsi="ˎ̥"/>
      <w:sz w:val="21"/>
      <w:szCs w:val="21"/>
    </w:rPr>
  </w:style>
  <w:style w:type="character" w:customStyle="1" w:styleId="270">
    <w:name w:val="标书正文格式 Char Char"/>
    <w:qFormat/>
    <w:uiPriority w:val="0"/>
    <w:rPr>
      <w:rFonts w:eastAsia="仿宋_GB2312"/>
      <w:kern w:val="2"/>
      <w:sz w:val="30"/>
      <w:szCs w:val="24"/>
      <w:lang w:val="en-US" w:eastAsia="en-US" w:bidi="en-US"/>
    </w:rPr>
  </w:style>
  <w:style w:type="character" w:customStyle="1" w:styleId="271">
    <w:name w:val="ask-title"/>
    <w:basedOn w:val="63"/>
    <w:qFormat/>
    <w:uiPriority w:val="0"/>
  </w:style>
  <w:style w:type="character" w:customStyle="1" w:styleId="272">
    <w:name w:val="HTML 预设格式 Char"/>
    <w:link w:val="52"/>
    <w:qFormat/>
    <w:uiPriority w:val="0"/>
    <w:rPr>
      <w:rFonts w:ascii="宋体" w:hAnsi="宋体" w:cs="宋体"/>
      <w:sz w:val="24"/>
      <w:szCs w:val="24"/>
    </w:rPr>
  </w:style>
  <w:style w:type="character" w:customStyle="1" w:styleId="273">
    <w:name w:val="5a"/>
    <w:basedOn w:val="63"/>
    <w:qFormat/>
    <w:uiPriority w:val="0"/>
  </w:style>
  <w:style w:type="character" w:customStyle="1" w:styleId="274">
    <w:name w:val="样式正文-1 Char"/>
    <w:link w:val="275"/>
    <w:qFormat/>
    <w:uiPriority w:val="0"/>
    <w:rPr>
      <w:rFonts w:ascii="Calibri" w:hAnsi="Calibri"/>
      <w:kern w:val="2"/>
      <w:sz w:val="24"/>
      <w:szCs w:val="22"/>
    </w:rPr>
  </w:style>
  <w:style w:type="paragraph" w:customStyle="1" w:styleId="275">
    <w:name w:val="样式正文-1"/>
    <w:basedOn w:val="1"/>
    <w:link w:val="274"/>
    <w:qFormat/>
    <w:uiPriority w:val="0"/>
    <w:pPr>
      <w:adjustRightInd w:val="0"/>
      <w:snapToGrid w:val="0"/>
      <w:spacing w:beforeLines="100" w:afterLines="100"/>
    </w:pPr>
    <w:rPr>
      <w:rFonts w:ascii="Calibri" w:hAnsi="Calibri"/>
      <w:sz w:val="24"/>
      <w:szCs w:val="22"/>
    </w:rPr>
  </w:style>
  <w:style w:type="character" w:customStyle="1" w:styleId="276">
    <w:name w:val="content1"/>
    <w:qFormat/>
    <w:uiPriority w:val="0"/>
    <w:rPr>
      <w:spacing w:val="360"/>
      <w:sz w:val="18"/>
      <w:szCs w:val="18"/>
    </w:rPr>
  </w:style>
  <w:style w:type="character" w:customStyle="1" w:styleId="277">
    <w:name w:val="样式正文-2 Char"/>
    <w:link w:val="278"/>
    <w:qFormat/>
    <w:uiPriority w:val="0"/>
    <w:rPr>
      <w:rFonts w:ascii="Arial" w:hAnsi="Arial" w:cs="宋体"/>
      <w:color w:val="000000"/>
      <w:sz w:val="24"/>
      <w:szCs w:val="24"/>
    </w:rPr>
  </w:style>
  <w:style w:type="paragraph" w:customStyle="1" w:styleId="278">
    <w:name w:val="样式正文-2"/>
    <w:basedOn w:val="127"/>
    <w:link w:val="277"/>
    <w:qFormat/>
    <w:uiPriority w:val="0"/>
    <w:pPr>
      <w:snapToGrid w:val="0"/>
      <w:spacing w:beforeLines="50" w:line="360" w:lineRule="auto"/>
      <w:ind w:firstLine="480" w:firstLineChars="200"/>
    </w:pPr>
    <w:rPr>
      <w:rFonts w:ascii="Arial" w:hAnsi="Arial" w:eastAsia="宋体" w:cs="宋体"/>
    </w:rPr>
  </w:style>
  <w:style w:type="character" w:customStyle="1" w:styleId="279">
    <w:name w:val="style91"/>
    <w:qFormat/>
    <w:uiPriority w:val="0"/>
    <w:rPr>
      <w:sz w:val="21"/>
      <w:szCs w:val="21"/>
    </w:rPr>
  </w:style>
  <w:style w:type="character" w:customStyle="1" w:styleId="280">
    <w:name w:val="特点标题 Char"/>
    <w:qFormat/>
    <w:uiPriority w:val="0"/>
    <w:rPr>
      <w:rFonts w:eastAsia="宋体"/>
      <w:kern w:val="2"/>
      <w:sz w:val="24"/>
      <w:szCs w:val="24"/>
      <w:lang w:val="en-US" w:eastAsia="zh-CN" w:bidi="ar-SA"/>
    </w:rPr>
  </w:style>
  <w:style w:type="character" w:customStyle="1" w:styleId="281">
    <w:name w:val="标书标题4 Char"/>
    <w:link w:val="282"/>
    <w:qFormat/>
    <w:uiPriority w:val="0"/>
    <w:rPr>
      <w:rFonts w:ascii="宋体" w:hAnsi="宋体" w:eastAsia="黑体"/>
      <w:b/>
      <w:color w:val="000000"/>
      <w:szCs w:val="32"/>
    </w:rPr>
  </w:style>
  <w:style w:type="paragraph" w:customStyle="1" w:styleId="282">
    <w:name w:val="标书标题4"/>
    <w:basedOn w:val="5"/>
    <w:link w:val="281"/>
    <w:qFormat/>
    <w:uiPriority w:val="0"/>
    <w:pPr>
      <w:keepLines w:val="0"/>
      <w:adjustRightInd w:val="0"/>
      <w:snapToGrid w:val="0"/>
      <w:spacing w:before="0" w:after="0" w:line="300" w:lineRule="auto"/>
      <w:ind w:firstLine="420" w:firstLineChars="200"/>
    </w:pPr>
    <w:rPr>
      <w:rFonts w:ascii="宋体" w:hAnsi="宋体"/>
      <w:bCs w:val="0"/>
      <w:color w:val="000000"/>
      <w:kern w:val="0"/>
      <w:sz w:val="20"/>
      <w:szCs w:val="32"/>
    </w:rPr>
  </w:style>
  <w:style w:type="character" w:customStyle="1" w:styleId="283">
    <w:name w:val="标题 4 Char1"/>
    <w:semiHidden/>
    <w:qFormat/>
    <w:uiPriority w:val="0"/>
    <w:rPr>
      <w:rFonts w:ascii="Cambria" w:hAnsi="Cambria" w:eastAsia="宋体" w:cs="Times New Roman"/>
      <w:b/>
      <w:bCs/>
      <w:kern w:val="2"/>
      <w:sz w:val="28"/>
      <w:szCs w:val="28"/>
    </w:rPr>
  </w:style>
  <w:style w:type="character" w:customStyle="1" w:styleId="284">
    <w:name w:val="title_emph1"/>
    <w:qFormat/>
    <w:uiPriority w:val="0"/>
    <w:rPr>
      <w:rFonts w:hint="default" w:ascii="Arial" w:hAnsi="Arial" w:cs="Arial"/>
      <w:b/>
      <w:bCs/>
      <w:sz w:val="18"/>
      <w:szCs w:val="18"/>
    </w:rPr>
  </w:style>
  <w:style w:type="character" w:customStyle="1" w:styleId="285">
    <w:name w:val="Char Char61"/>
    <w:qFormat/>
    <w:uiPriority w:val="0"/>
    <w:rPr>
      <w:rFonts w:ascii="宋体" w:hAnsi="宋体" w:eastAsia="宋体" w:cs="Times New Roman"/>
      <w:sz w:val="24"/>
      <w:szCs w:val="24"/>
    </w:rPr>
  </w:style>
  <w:style w:type="character" w:customStyle="1" w:styleId="286">
    <w:name w:val="4-1 Char Char"/>
    <w:qFormat/>
    <w:uiPriority w:val="0"/>
    <w:rPr>
      <w:kern w:val="2"/>
      <w:sz w:val="24"/>
      <w:szCs w:val="24"/>
    </w:rPr>
  </w:style>
  <w:style w:type="character" w:customStyle="1" w:styleId="287">
    <w:name w:val="4-1 Char"/>
    <w:link w:val="288"/>
    <w:qFormat/>
    <w:uiPriority w:val="0"/>
    <w:rPr>
      <w:sz w:val="24"/>
      <w:szCs w:val="24"/>
    </w:rPr>
  </w:style>
  <w:style w:type="paragraph" w:customStyle="1" w:styleId="288">
    <w:name w:val="4-1"/>
    <w:basedOn w:val="1"/>
    <w:link w:val="287"/>
    <w:qFormat/>
    <w:uiPriority w:val="0"/>
    <w:pPr>
      <w:spacing w:line="360" w:lineRule="auto"/>
      <w:ind w:left="180" w:hanging="180" w:hangingChars="180"/>
    </w:pPr>
    <w:rPr>
      <w:kern w:val="0"/>
      <w:sz w:val="24"/>
    </w:rPr>
  </w:style>
  <w:style w:type="character" w:customStyle="1" w:styleId="289">
    <w:name w:val="g Char"/>
    <w:qFormat/>
    <w:uiPriority w:val="0"/>
    <w:rPr>
      <w:rFonts w:eastAsia="楷体_GB2312"/>
      <w:kern w:val="2"/>
      <w:sz w:val="18"/>
      <w:lang w:val="en-US" w:eastAsia="zh-CN" w:bidi="ar-SA"/>
    </w:rPr>
  </w:style>
  <w:style w:type="character" w:customStyle="1" w:styleId="290">
    <w:name w:val="样式 正文文本缩进 + 首行缩进:  2 字符 Char Char"/>
    <w:link w:val="291"/>
    <w:qFormat/>
    <w:uiPriority w:val="0"/>
    <w:rPr>
      <w:rFonts w:cs="宋体"/>
      <w:sz w:val="24"/>
      <w:szCs w:val="24"/>
    </w:rPr>
  </w:style>
  <w:style w:type="paragraph" w:customStyle="1" w:styleId="291">
    <w:name w:val="样式 正文文本缩进 + 首行缩进:  2 字符 Char"/>
    <w:basedOn w:val="24"/>
    <w:link w:val="290"/>
    <w:qFormat/>
    <w:uiPriority w:val="0"/>
    <w:pPr>
      <w:tabs>
        <w:tab w:val="left" w:pos="9016"/>
      </w:tabs>
      <w:spacing w:line="500" w:lineRule="exact"/>
      <w:ind w:firstLine="480"/>
    </w:pPr>
    <w:rPr>
      <w:rFonts w:ascii="Times New Roman" w:eastAsia="宋体" w:cs="宋体"/>
    </w:rPr>
  </w:style>
  <w:style w:type="character" w:customStyle="1" w:styleId="292">
    <w:name w:val="标题 Char1"/>
    <w:qFormat/>
    <w:uiPriority w:val="0"/>
    <w:rPr>
      <w:rFonts w:ascii="Arial" w:hAnsi="Arial" w:eastAsia="宋体" w:cs="Times New Roman"/>
      <w:b/>
      <w:sz w:val="32"/>
      <w:szCs w:val="20"/>
    </w:rPr>
  </w:style>
  <w:style w:type="character" w:customStyle="1" w:styleId="293">
    <w:name w:val="105v"/>
    <w:basedOn w:val="63"/>
    <w:qFormat/>
    <w:uiPriority w:val="0"/>
  </w:style>
  <w:style w:type="character" w:customStyle="1" w:styleId="294">
    <w:name w:val="p121"/>
    <w:qFormat/>
    <w:uiPriority w:val="0"/>
    <w:rPr>
      <w:rFonts w:hint="default"/>
      <w:sz w:val="24"/>
      <w:u w:val="none"/>
    </w:rPr>
  </w:style>
  <w:style w:type="character" w:customStyle="1" w:styleId="295">
    <w:name w:val="正文文字(楷体缩进2字) Char"/>
    <w:semiHidden/>
    <w:qFormat/>
    <w:uiPriority w:val="0"/>
    <w:rPr>
      <w:rFonts w:ascii="宋体" w:hAnsi="宋体" w:eastAsia="宋体"/>
      <w:kern w:val="2"/>
      <w:sz w:val="24"/>
      <w:lang w:val="en-US" w:eastAsia="zh-CN" w:bidi="ar-SA"/>
    </w:rPr>
  </w:style>
  <w:style w:type="character" w:customStyle="1" w:styleId="296">
    <w:name w:val="g Char1"/>
    <w:qFormat/>
    <w:uiPriority w:val="0"/>
    <w:rPr>
      <w:rFonts w:eastAsia="楷体_GB2312"/>
      <w:kern w:val="2"/>
      <w:sz w:val="18"/>
      <w:lang w:val="en-US" w:eastAsia="zh-CN" w:bidi="ar-SA"/>
    </w:rPr>
  </w:style>
  <w:style w:type="character" w:customStyle="1" w:styleId="297">
    <w:name w:val="f Char1"/>
    <w:qFormat/>
    <w:uiPriority w:val="0"/>
    <w:rPr>
      <w:rFonts w:eastAsia="楷体_GB2312"/>
      <w:kern w:val="2"/>
      <w:sz w:val="18"/>
      <w:lang w:val="en-US" w:eastAsia="zh-CN" w:bidi="ar-SA"/>
    </w:rPr>
  </w:style>
  <w:style w:type="character" w:customStyle="1" w:styleId="298">
    <w:name w:val="tle_cn1"/>
    <w:qFormat/>
    <w:uiPriority w:val="0"/>
    <w:rPr>
      <w:rFonts w:hint="default" w:ascii="Arial" w:hAnsi="Arial" w:cs="Arial"/>
      <w:b/>
      <w:bCs/>
      <w:color w:val="7C7C7C"/>
      <w:sz w:val="21"/>
      <w:szCs w:val="21"/>
    </w:rPr>
  </w:style>
  <w:style w:type="character" w:customStyle="1" w:styleId="299">
    <w:name w:val="H2 Char Char"/>
    <w:qFormat/>
    <w:uiPriority w:val="0"/>
    <w:rPr>
      <w:rFonts w:ascii="Arial" w:hAnsi="Arial" w:eastAsia="黑体"/>
      <w:b/>
      <w:bCs/>
      <w:kern w:val="2"/>
      <w:sz w:val="32"/>
      <w:szCs w:val="32"/>
      <w:lang w:val="en-US" w:eastAsia="zh-CN" w:bidi="ar-SA"/>
    </w:rPr>
  </w:style>
  <w:style w:type="character" w:customStyle="1" w:styleId="300">
    <w:name w:val="style291"/>
    <w:qFormat/>
    <w:uiPriority w:val="0"/>
    <w:rPr>
      <w:sz w:val="16"/>
      <w:szCs w:val="16"/>
    </w:rPr>
  </w:style>
  <w:style w:type="character" w:customStyle="1" w:styleId="301">
    <w:name w:val="标题 3 Char Char Char1"/>
    <w:qFormat/>
    <w:uiPriority w:val="0"/>
    <w:rPr>
      <w:rFonts w:eastAsia="宋体"/>
      <w:b/>
      <w:bCs/>
      <w:kern w:val="2"/>
      <w:sz w:val="32"/>
      <w:szCs w:val="32"/>
      <w:lang w:val="en-US" w:eastAsia="zh-CN" w:bidi="ar-SA"/>
    </w:rPr>
  </w:style>
  <w:style w:type="character" w:customStyle="1" w:styleId="302">
    <w:name w:val="ziti1"/>
    <w:qFormat/>
    <w:uiPriority w:val="0"/>
    <w:rPr>
      <w:b/>
      <w:bCs/>
      <w:color w:val="DE1800"/>
      <w:sz w:val="36"/>
      <w:szCs w:val="36"/>
    </w:rPr>
  </w:style>
  <w:style w:type="character" w:customStyle="1" w:styleId="303">
    <w:name w:val="p031"/>
    <w:qFormat/>
    <w:uiPriority w:val="0"/>
    <w:rPr>
      <w:color w:val="000000"/>
      <w:spacing w:val="384"/>
      <w:sz w:val="21"/>
      <w:szCs w:val="21"/>
      <w:u w:val="none"/>
    </w:rPr>
  </w:style>
  <w:style w:type="character" w:customStyle="1" w:styleId="304">
    <w:name w:val="unnamed11"/>
    <w:basedOn w:val="63"/>
    <w:qFormat/>
    <w:uiPriority w:val="0"/>
  </w:style>
  <w:style w:type="character" w:customStyle="1" w:styleId="305">
    <w:name w:val="search1"/>
    <w:qFormat/>
    <w:uiPriority w:val="0"/>
    <w:rPr>
      <w:rFonts w:hint="default"/>
      <w:spacing w:val="300"/>
      <w:sz w:val="18"/>
      <w:szCs w:val="18"/>
    </w:rPr>
  </w:style>
  <w:style w:type="character" w:customStyle="1" w:styleId="306">
    <w:name w:val="font"/>
    <w:basedOn w:val="63"/>
    <w:qFormat/>
    <w:uiPriority w:val="0"/>
  </w:style>
  <w:style w:type="character" w:customStyle="1" w:styleId="307">
    <w:name w:val="subject_matter1"/>
    <w:qFormat/>
    <w:uiPriority w:val="0"/>
    <w:rPr>
      <w:rFonts w:hint="default" w:ascii="Arial" w:hAnsi="Arial" w:cs="Arial"/>
      <w:color w:val="000000"/>
      <w:sz w:val="20"/>
      <w:szCs w:val="20"/>
      <w:u w:val="none"/>
    </w:rPr>
  </w:style>
  <w:style w:type="character" w:customStyle="1" w:styleId="308">
    <w:name w:val="样式5 Char Char"/>
    <w:link w:val="309"/>
    <w:qFormat/>
    <w:uiPriority w:val="0"/>
    <w:rPr>
      <w:rFonts w:ascii="黑体" w:eastAsia="黑体"/>
      <w:b/>
      <w:bCs/>
      <w:kern w:val="2"/>
      <w:sz w:val="32"/>
      <w:szCs w:val="32"/>
    </w:rPr>
  </w:style>
  <w:style w:type="paragraph" w:customStyle="1" w:styleId="309">
    <w:name w:val="样式5 Char"/>
    <w:basedOn w:val="310"/>
    <w:link w:val="308"/>
    <w:qFormat/>
    <w:uiPriority w:val="0"/>
    <w:pPr>
      <w:spacing w:beforeLines="80" w:afterLines="60"/>
      <w:ind w:firstLine="0" w:firstLineChars="0"/>
      <w:jc w:val="center"/>
    </w:pPr>
    <w:rPr>
      <w:rFonts w:ascii="黑体" w:eastAsia="黑体"/>
      <w:sz w:val="32"/>
      <w:szCs w:val="32"/>
    </w:rPr>
  </w:style>
  <w:style w:type="paragraph" w:customStyle="1" w:styleId="310">
    <w:name w:val="样式4 Char"/>
    <w:basedOn w:val="23"/>
    <w:link w:val="325"/>
    <w:qFormat/>
    <w:uiPriority w:val="0"/>
    <w:pPr>
      <w:spacing w:after="0" w:line="500" w:lineRule="exact"/>
      <w:ind w:firstLine="480" w:firstLineChars="200"/>
    </w:pPr>
    <w:rPr>
      <w:rFonts w:ascii="宋体"/>
      <w:b/>
      <w:bCs/>
      <w:kern w:val="2"/>
      <w:sz w:val="24"/>
    </w:rPr>
  </w:style>
  <w:style w:type="character" w:customStyle="1" w:styleId="311">
    <w:name w:val="Char Char7"/>
    <w:qFormat/>
    <w:uiPriority w:val="0"/>
    <w:rPr>
      <w:rFonts w:ascii="宋体" w:hAnsi="宋体" w:eastAsia="宋体"/>
      <w:kern w:val="2"/>
      <w:sz w:val="24"/>
      <w:szCs w:val="24"/>
      <w:lang w:val="en-US" w:eastAsia="zh-CN" w:bidi="ar-SA"/>
    </w:rPr>
  </w:style>
  <w:style w:type="character" w:customStyle="1" w:styleId="312">
    <w:name w:val="注释标题 Char"/>
    <w:qFormat/>
    <w:uiPriority w:val="0"/>
    <w:rPr>
      <w:sz w:val="24"/>
      <w:szCs w:val="20"/>
    </w:rPr>
  </w:style>
  <w:style w:type="character" w:customStyle="1" w:styleId="313">
    <w:name w:val="样式 宋体 小四 左侧:  1.85 厘米 段前: 11.15 磅 段后: 11.15 磅 Char"/>
    <w:qFormat/>
    <w:uiPriority w:val="0"/>
    <w:rPr>
      <w:rFonts w:eastAsia="宋体" w:cs="宋体"/>
      <w:kern w:val="2"/>
      <w:sz w:val="24"/>
      <w:szCs w:val="24"/>
      <w:lang w:val="en-US" w:eastAsia="zh-CN" w:bidi="ar-SA"/>
    </w:rPr>
  </w:style>
  <w:style w:type="character" w:customStyle="1" w:styleId="314">
    <w:name w:val="Char Char8"/>
    <w:qFormat/>
    <w:uiPriority w:val="0"/>
    <w:rPr>
      <w:rFonts w:eastAsia="楷体_GB2312"/>
      <w:kern w:val="2"/>
      <w:sz w:val="18"/>
      <w:lang w:val="en-US" w:eastAsia="zh-CN" w:bidi="ar-SA"/>
    </w:rPr>
  </w:style>
  <w:style w:type="character" w:customStyle="1" w:styleId="315">
    <w:name w:val="textcontents"/>
    <w:qFormat/>
    <w:uiPriority w:val="0"/>
  </w:style>
  <w:style w:type="character" w:customStyle="1" w:styleId="316">
    <w:name w:val="正文首行缩进 2 Char"/>
    <w:link w:val="58"/>
    <w:qFormat/>
    <w:uiPriority w:val="0"/>
    <w:rPr>
      <w:rFonts w:ascii="宋体" w:hAnsi="宋体"/>
      <w:color w:val="000000"/>
      <w:sz w:val="24"/>
      <w:szCs w:val="24"/>
      <w:lang w:bidi="en-US"/>
    </w:rPr>
  </w:style>
  <w:style w:type="character" w:customStyle="1" w:styleId="317">
    <w:name w:val="注释标题 Char1"/>
    <w:link w:val="13"/>
    <w:qFormat/>
    <w:uiPriority w:val="0"/>
    <w:rPr>
      <w:rFonts w:ascii="Calibri" w:hAnsi="Calibri"/>
      <w:kern w:val="2"/>
      <w:sz w:val="24"/>
      <w:szCs w:val="24"/>
      <w:lang w:eastAsia="en-US"/>
    </w:rPr>
  </w:style>
  <w:style w:type="character" w:customStyle="1" w:styleId="318">
    <w:name w:val="标题 1 Char1"/>
    <w:qFormat/>
    <w:uiPriority w:val="0"/>
    <w:rPr>
      <w:rFonts w:ascii="Times New Roman" w:hAnsi="Times New Roman" w:eastAsia="宋体" w:cs="Times New Roman"/>
      <w:b/>
      <w:bCs/>
      <w:kern w:val="44"/>
      <w:sz w:val="44"/>
      <w:szCs w:val="44"/>
    </w:rPr>
  </w:style>
  <w:style w:type="character" w:customStyle="1" w:styleId="319">
    <w:name w:val="标题 3 Char1"/>
    <w:qFormat/>
    <w:uiPriority w:val="0"/>
    <w:rPr>
      <w:rFonts w:ascii="Times New Roman" w:hAnsi="Times New Roman" w:eastAsia="宋体" w:cs="Times New Roman"/>
      <w:b/>
      <w:bCs/>
      <w:kern w:val="2"/>
      <w:sz w:val="32"/>
      <w:szCs w:val="32"/>
    </w:rPr>
  </w:style>
  <w:style w:type="character" w:customStyle="1" w:styleId="320">
    <w:name w:val="标题 7 Char1"/>
    <w:semiHidden/>
    <w:qFormat/>
    <w:uiPriority w:val="0"/>
    <w:rPr>
      <w:rFonts w:ascii="Times New Roman" w:hAnsi="Times New Roman" w:eastAsia="宋体" w:cs="Times New Roman"/>
      <w:b/>
      <w:bCs/>
      <w:kern w:val="2"/>
      <w:sz w:val="24"/>
      <w:szCs w:val="24"/>
    </w:rPr>
  </w:style>
  <w:style w:type="character" w:customStyle="1" w:styleId="321">
    <w:name w:val="style11"/>
    <w:qFormat/>
    <w:uiPriority w:val="0"/>
    <w:rPr>
      <w:b/>
      <w:bCs/>
    </w:rPr>
  </w:style>
  <w:style w:type="character" w:customStyle="1" w:styleId="322">
    <w:name w:val="HTML Markup"/>
    <w:qFormat/>
    <w:uiPriority w:val="0"/>
    <w:rPr>
      <w:vanish/>
      <w:color w:val="FF0000"/>
    </w:rPr>
  </w:style>
  <w:style w:type="character" w:customStyle="1" w:styleId="323">
    <w:name w:val="样式3 Char"/>
    <w:link w:val="324"/>
    <w:qFormat/>
    <w:uiPriority w:val="0"/>
    <w:rPr>
      <w:rFonts w:ascii="宋体" w:hAnsi="宋体"/>
      <w:b/>
      <w:bCs/>
      <w:sz w:val="28"/>
      <w:lang w:eastAsia="en-US"/>
    </w:rPr>
  </w:style>
  <w:style w:type="paragraph" w:customStyle="1" w:styleId="324">
    <w:name w:val="样式3"/>
    <w:basedOn w:val="1"/>
    <w:link w:val="323"/>
    <w:qFormat/>
    <w:uiPriority w:val="0"/>
    <w:pPr>
      <w:keepNext/>
      <w:keepLines/>
      <w:widowControl/>
      <w:tabs>
        <w:tab w:val="left" w:pos="840"/>
      </w:tabs>
      <w:spacing w:before="260" w:after="260" w:line="360" w:lineRule="auto"/>
      <w:ind w:left="840" w:hanging="420"/>
      <w:jc w:val="left"/>
      <w:outlineLvl w:val="2"/>
    </w:pPr>
    <w:rPr>
      <w:rFonts w:ascii="宋体" w:hAnsi="宋体"/>
      <w:b/>
      <w:bCs/>
      <w:kern w:val="0"/>
      <w:sz w:val="28"/>
      <w:szCs w:val="20"/>
      <w:lang w:eastAsia="en-US"/>
    </w:rPr>
  </w:style>
  <w:style w:type="character" w:customStyle="1" w:styleId="325">
    <w:name w:val="样式4 Char Char"/>
    <w:link w:val="310"/>
    <w:qFormat/>
    <w:uiPriority w:val="0"/>
    <w:rPr>
      <w:rFonts w:ascii="宋体"/>
      <w:b/>
      <w:bCs/>
      <w:kern w:val="2"/>
      <w:sz w:val="24"/>
      <w:szCs w:val="24"/>
    </w:rPr>
  </w:style>
  <w:style w:type="character" w:customStyle="1" w:styleId="326">
    <w:name w:val="样式 段落编号 + (中文) 黑体 两端对齐 Char Char Char Char Char"/>
    <w:link w:val="327"/>
    <w:qFormat/>
    <w:uiPriority w:val="0"/>
    <w:rPr>
      <w:rFonts w:ascii="宋体" w:hAnsi="宋体" w:eastAsia="黑体" w:cs="宋体"/>
      <w:kern w:val="2"/>
      <w:sz w:val="24"/>
      <w:szCs w:val="24"/>
    </w:rPr>
  </w:style>
  <w:style w:type="paragraph" w:customStyle="1" w:styleId="327">
    <w:name w:val="样式 段落编号 + (中文) 黑体 两端对齐 Char Char Char Char"/>
    <w:basedOn w:val="1"/>
    <w:link w:val="326"/>
    <w:qFormat/>
    <w:uiPriority w:val="0"/>
    <w:pPr>
      <w:adjustRightInd w:val="0"/>
      <w:snapToGrid w:val="0"/>
      <w:spacing w:before="60" w:after="240" w:line="400" w:lineRule="exact"/>
      <w:ind w:left="482"/>
      <w:jc w:val="left"/>
      <w:textAlignment w:val="baseline"/>
    </w:pPr>
    <w:rPr>
      <w:rFonts w:ascii="宋体" w:hAnsi="宋体" w:eastAsia="黑体" w:cs="宋体"/>
      <w:sz w:val="24"/>
    </w:rPr>
  </w:style>
  <w:style w:type="character" w:customStyle="1" w:styleId="328">
    <w:name w:val="CM104 Char"/>
    <w:link w:val="329"/>
    <w:qFormat/>
    <w:uiPriority w:val="0"/>
    <w:rPr>
      <w:rFonts w:ascii="宋体" w:hAnsi="Calibri" w:eastAsia="黑体"/>
      <w:color w:val="000000"/>
      <w:sz w:val="24"/>
      <w:szCs w:val="24"/>
    </w:rPr>
  </w:style>
  <w:style w:type="paragraph" w:customStyle="1" w:styleId="329">
    <w:name w:val="CM104"/>
    <w:basedOn w:val="127"/>
    <w:next w:val="127"/>
    <w:link w:val="328"/>
    <w:qFormat/>
    <w:uiPriority w:val="0"/>
    <w:rPr>
      <w:rFonts w:ascii="宋体" w:hAnsi="Calibri" w:eastAsia="黑体" w:cs="Times New Roman"/>
    </w:rPr>
  </w:style>
  <w:style w:type="character" w:customStyle="1" w:styleId="330">
    <w:name w:val="样式2-1 Char"/>
    <w:link w:val="331"/>
    <w:qFormat/>
    <w:uiPriority w:val="0"/>
    <w:rPr>
      <w:rFonts w:ascii="华文中宋" w:hAnsi="华文中宋" w:eastAsia="华文中宋"/>
      <w:b/>
      <w:color w:val="000000"/>
      <w:kern w:val="2"/>
      <w:sz w:val="36"/>
      <w:szCs w:val="44"/>
    </w:rPr>
  </w:style>
  <w:style w:type="paragraph" w:customStyle="1" w:styleId="331">
    <w:name w:val="样式2-1"/>
    <w:basedOn w:val="1"/>
    <w:link w:val="330"/>
    <w:qFormat/>
    <w:uiPriority w:val="0"/>
    <w:pPr>
      <w:adjustRightInd w:val="0"/>
      <w:snapToGrid w:val="0"/>
      <w:spacing w:beforeLines="100" w:afterLines="100"/>
      <w:jc w:val="center"/>
      <w:outlineLvl w:val="1"/>
    </w:pPr>
    <w:rPr>
      <w:rFonts w:ascii="华文中宋" w:hAnsi="华文中宋" w:eastAsia="华文中宋"/>
      <w:b/>
      <w:color w:val="000000"/>
      <w:sz w:val="36"/>
      <w:szCs w:val="44"/>
    </w:rPr>
  </w:style>
  <w:style w:type="character" w:customStyle="1" w:styleId="332">
    <w:name w:val="样式1-1 Char"/>
    <w:link w:val="333"/>
    <w:qFormat/>
    <w:uiPriority w:val="0"/>
    <w:rPr>
      <w:rFonts w:ascii="华文中宋" w:hAnsi="华文中宋" w:eastAsia="华文中宋"/>
      <w:b/>
      <w:color w:val="000000"/>
      <w:sz w:val="48"/>
      <w:szCs w:val="52"/>
    </w:rPr>
  </w:style>
  <w:style w:type="paragraph" w:customStyle="1" w:styleId="333">
    <w:name w:val="样式1-1"/>
    <w:basedOn w:val="1"/>
    <w:link w:val="332"/>
    <w:qFormat/>
    <w:uiPriority w:val="0"/>
    <w:pPr>
      <w:jc w:val="center"/>
      <w:outlineLvl w:val="0"/>
    </w:pPr>
    <w:rPr>
      <w:rFonts w:ascii="华文中宋" w:hAnsi="华文中宋" w:eastAsia="华文中宋"/>
      <w:b/>
      <w:color w:val="000000"/>
      <w:kern w:val="0"/>
      <w:sz w:val="48"/>
      <w:szCs w:val="52"/>
    </w:rPr>
  </w:style>
  <w:style w:type="character" w:customStyle="1" w:styleId="334">
    <w:name w:val="样式4-1 Char"/>
    <w:link w:val="335"/>
    <w:qFormat/>
    <w:uiPriority w:val="0"/>
    <w:rPr>
      <w:rFonts w:ascii="Calibri" w:hAnsi="Calibri"/>
      <w:b/>
      <w:kern w:val="2"/>
      <w:sz w:val="28"/>
      <w:szCs w:val="22"/>
    </w:rPr>
  </w:style>
  <w:style w:type="paragraph" w:customStyle="1" w:styleId="335">
    <w:name w:val="样式4-1"/>
    <w:basedOn w:val="275"/>
    <w:link w:val="334"/>
    <w:qFormat/>
    <w:uiPriority w:val="0"/>
    <w:pPr>
      <w:spacing w:before="240" w:after="240"/>
      <w:outlineLvl w:val="3"/>
    </w:pPr>
    <w:rPr>
      <w:b/>
      <w:sz w:val="28"/>
    </w:rPr>
  </w:style>
  <w:style w:type="character" w:customStyle="1" w:styleId="336">
    <w:name w:val="样式3-2 Char"/>
    <w:link w:val="337"/>
    <w:qFormat/>
    <w:uiPriority w:val="0"/>
    <w:rPr>
      <w:rFonts w:ascii="黑体" w:eastAsia="黑体" w:cs="黑体"/>
      <w:b/>
      <w:bCs/>
      <w:sz w:val="32"/>
      <w:szCs w:val="32"/>
    </w:rPr>
  </w:style>
  <w:style w:type="paragraph" w:customStyle="1" w:styleId="337">
    <w:name w:val="样式3-2"/>
    <w:basedOn w:val="260"/>
    <w:link w:val="336"/>
    <w:qFormat/>
    <w:uiPriority w:val="0"/>
    <w:pPr>
      <w:spacing w:beforeLines="100" w:afterLines="100"/>
      <w:jc w:val="center"/>
    </w:pPr>
    <w:rPr>
      <w:rFonts w:ascii="黑体" w:hAnsi="Times New Roman" w:cs="黑体"/>
      <w:color w:val="auto"/>
    </w:rPr>
  </w:style>
  <w:style w:type="character" w:customStyle="1" w:styleId="338">
    <w:name w:val="样式5-1 Char"/>
    <w:link w:val="339"/>
    <w:qFormat/>
    <w:uiPriority w:val="0"/>
    <w:rPr>
      <w:rFonts w:ascii="Calibri" w:hAnsi="Calibri"/>
      <w:b/>
      <w:kern w:val="2"/>
      <w:sz w:val="28"/>
      <w:szCs w:val="22"/>
    </w:rPr>
  </w:style>
  <w:style w:type="paragraph" w:customStyle="1" w:styleId="339">
    <w:name w:val="样式5-1"/>
    <w:basedOn w:val="275"/>
    <w:link w:val="338"/>
    <w:qFormat/>
    <w:uiPriority w:val="0"/>
    <w:pPr>
      <w:spacing w:before="240" w:after="240"/>
      <w:outlineLvl w:val="4"/>
    </w:pPr>
    <w:rPr>
      <w:b/>
      <w:sz w:val="28"/>
    </w:rPr>
  </w:style>
  <w:style w:type="character" w:customStyle="1" w:styleId="340">
    <w:name w:val="样式4-2 Char"/>
    <w:link w:val="341"/>
    <w:qFormat/>
    <w:uiPriority w:val="0"/>
    <w:rPr>
      <w:rFonts w:ascii="Calibri" w:hAnsi="Calibri"/>
      <w:b/>
      <w:kern w:val="2"/>
      <w:sz w:val="28"/>
      <w:szCs w:val="22"/>
    </w:rPr>
  </w:style>
  <w:style w:type="paragraph" w:customStyle="1" w:styleId="341">
    <w:name w:val="样式4-2"/>
    <w:basedOn w:val="335"/>
    <w:link w:val="340"/>
    <w:qFormat/>
    <w:uiPriority w:val="0"/>
    <w:pPr>
      <w:jc w:val="center"/>
    </w:pPr>
  </w:style>
  <w:style w:type="character" w:customStyle="1" w:styleId="342">
    <w:name w:val="Char Char Char Char Char Char Char Char Char"/>
    <w:qFormat/>
    <w:uiPriority w:val="0"/>
    <w:rPr>
      <w:rFonts w:ascii="Cambria" w:hAnsi="Cambria" w:eastAsia="宋体"/>
      <w:b/>
      <w:bCs/>
      <w:sz w:val="32"/>
      <w:szCs w:val="32"/>
      <w:lang w:val="en-US" w:eastAsia="zh-CN" w:bidi="ar-SA"/>
    </w:rPr>
  </w:style>
  <w:style w:type="character" w:customStyle="1" w:styleId="343">
    <w:name w:val="样式3-3 Char"/>
    <w:link w:val="344"/>
    <w:qFormat/>
    <w:uiPriority w:val="0"/>
    <w:rPr>
      <w:rFonts w:ascii="黑体" w:hAnsi="华文中宋" w:eastAsia="黑体" w:cs="Arial"/>
      <w:b/>
      <w:bCs/>
      <w:color w:val="000000"/>
      <w:sz w:val="24"/>
      <w:szCs w:val="32"/>
    </w:rPr>
  </w:style>
  <w:style w:type="paragraph" w:customStyle="1" w:styleId="344">
    <w:name w:val="样式3-3"/>
    <w:basedOn w:val="260"/>
    <w:link w:val="343"/>
    <w:qFormat/>
    <w:uiPriority w:val="0"/>
    <w:pPr>
      <w:spacing w:before="156" w:after="156"/>
    </w:pPr>
    <w:rPr>
      <w:rFonts w:ascii="黑体" w:hAnsi="华文中宋"/>
      <w:sz w:val="24"/>
    </w:rPr>
  </w:style>
  <w:style w:type="character" w:customStyle="1" w:styleId="345">
    <w:name w:val="样式4-3 Char"/>
    <w:basedOn w:val="343"/>
    <w:link w:val="346"/>
    <w:qFormat/>
    <w:uiPriority w:val="0"/>
    <w:rPr>
      <w:rFonts w:ascii="黑体" w:hAnsi="华文中宋" w:eastAsia="黑体" w:cs="Arial"/>
      <w:color w:val="000000"/>
      <w:sz w:val="24"/>
      <w:szCs w:val="32"/>
    </w:rPr>
  </w:style>
  <w:style w:type="paragraph" w:customStyle="1" w:styleId="346">
    <w:name w:val="样式4-3"/>
    <w:basedOn w:val="344"/>
    <w:link w:val="345"/>
    <w:qFormat/>
    <w:uiPriority w:val="0"/>
    <w:pPr>
      <w:ind w:firstLine="482" w:firstLineChars="200"/>
      <w:outlineLvl w:val="3"/>
    </w:pPr>
  </w:style>
  <w:style w:type="character" w:customStyle="1" w:styleId="347">
    <w:name w:val="样式5-2 Char"/>
    <w:link w:val="348"/>
    <w:qFormat/>
    <w:uiPriority w:val="0"/>
    <w:rPr>
      <w:rFonts w:ascii="Calibri" w:hAnsi="Calibri"/>
      <w:b/>
      <w:kern w:val="2"/>
      <w:sz w:val="24"/>
      <w:szCs w:val="22"/>
    </w:rPr>
  </w:style>
  <w:style w:type="paragraph" w:customStyle="1" w:styleId="348">
    <w:name w:val="样式5-2"/>
    <w:basedOn w:val="339"/>
    <w:link w:val="347"/>
    <w:qFormat/>
    <w:uiPriority w:val="0"/>
    <w:pPr>
      <w:spacing w:before="312" w:after="312"/>
      <w:ind w:firstLine="482" w:firstLineChars="200"/>
    </w:pPr>
    <w:rPr>
      <w:sz w:val="24"/>
    </w:rPr>
  </w:style>
  <w:style w:type="character" w:customStyle="1" w:styleId="349">
    <w:name w:val="1级标题（第一卷） Char"/>
    <w:link w:val="350"/>
    <w:qFormat/>
    <w:uiPriority w:val="0"/>
    <w:rPr>
      <w:rFonts w:ascii="黑体" w:hAnsi="华文中宋" w:eastAsia="黑体"/>
      <w:b/>
      <w:kern w:val="2"/>
      <w:sz w:val="48"/>
      <w:szCs w:val="48"/>
    </w:rPr>
  </w:style>
  <w:style w:type="paragraph" w:customStyle="1" w:styleId="350">
    <w:name w:val="1级标题（第一卷）"/>
    <w:basedOn w:val="1"/>
    <w:link w:val="349"/>
    <w:qFormat/>
    <w:locked/>
    <w:uiPriority w:val="0"/>
    <w:pPr>
      <w:adjustRightInd w:val="0"/>
      <w:snapToGrid w:val="0"/>
      <w:spacing w:beforeLines="100" w:afterLines="100"/>
      <w:jc w:val="center"/>
      <w:outlineLvl w:val="0"/>
    </w:pPr>
    <w:rPr>
      <w:rFonts w:ascii="黑体" w:hAnsi="华文中宋" w:eastAsia="黑体"/>
      <w:b/>
      <w:sz w:val="48"/>
      <w:szCs w:val="48"/>
    </w:rPr>
  </w:style>
  <w:style w:type="character" w:customStyle="1" w:styleId="351">
    <w:name w:val="3级标题（总则） Char"/>
    <w:link w:val="352"/>
    <w:qFormat/>
    <w:uiPriority w:val="0"/>
    <w:rPr>
      <w:rFonts w:ascii="宋体" w:hAnsi="宋体"/>
      <w:b/>
      <w:kern w:val="2"/>
      <w:sz w:val="24"/>
      <w:szCs w:val="24"/>
    </w:rPr>
  </w:style>
  <w:style w:type="paragraph" w:customStyle="1" w:styleId="352">
    <w:name w:val="3级标题（总则）"/>
    <w:basedOn w:val="353"/>
    <w:link w:val="351"/>
    <w:qFormat/>
    <w:locked/>
    <w:uiPriority w:val="0"/>
    <w:pPr>
      <w:keepNext w:val="0"/>
      <w:keepLines w:val="0"/>
      <w:spacing w:line="360" w:lineRule="auto"/>
      <w:outlineLvl w:val="2"/>
    </w:pPr>
    <w:rPr>
      <w:rFonts w:ascii="宋体" w:hAnsi="宋体"/>
      <w:bCs w:val="0"/>
      <w:kern w:val="2"/>
      <w:sz w:val="24"/>
      <w:szCs w:val="24"/>
    </w:rPr>
  </w:style>
  <w:style w:type="paragraph" w:customStyle="1" w:styleId="353">
    <w:name w:val="样式2"/>
    <w:basedOn w:val="2"/>
    <w:qFormat/>
    <w:uiPriority w:val="0"/>
    <w:pPr>
      <w:keepLines/>
      <w:autoSpaceDE/>
      <w:autoSpaceDN/>
      <w:adjustRightInd/>
      <w:spacing w:line="578" w:lineRule="auto"/>
      <w:jc w:val="both"/>
    </w:pPr>
    <w:rPr>
      <w:rFonts w:ascii="Times New Roman" w:eastAsia="宋体"/>
      <w:color w:val="auto"/>
      <w:kern w:val="44"/>
      <w:sz w:val="44"/>
      <w:szCs w:val="44"/>
    </w:rPr>
  </w:style>
  <w:style w:type="character" w:customStyle="1" w:styleId="354">
    <w:name w:val="2级标题（前附表） Char"/>
    <w:link w:val="355"/>
    <w:qFormat/>
    <w:uiPriority w:val="0"/>
    <w:rPr>
      <w:rFonts w:ascii="黑体" w:eastAsia="黑体"/>
      <w:color w:val="000000"/>
      <w:kern w:val="2"/>
      <w:sz w:val="28"/>
      <w:szCs w:val="28"/>
    </w:rPr>
  </w:style>
  <w:style w:type="paragraph" w:customStyle="1" w:styleId="355">
    <w:name w:val="2级标题（前附表）"/>
    <w:basedOn w:val="1"/>
    <w:link w:val="354"/>
    <w:qFormat/>
    <w:locked/>
    <w:uiPriority w:val="0"/>
    <w:pPr>
      <w:outlineLvl w:val="1"/>
    </w:pPr>
    <w:rPr>
      <w:rFonts w:ascii="黑体" w:eastAsia="黑体"/>
      <w:color w:val="000000"/>
      <w:sz w:val="28"/>
      <w:szCs w:val="28"/>
    </w:rPr>
  </w:style>
  <w:style w:type="character" w:customStyle="1" w:styleId="356">
    <w:name w:val="4级标题（1.1项目概况) Char"/>
    <w:link w:val="357"/>
    <w:qFormat/>
    <w:uiPriority w:val="0"/>
    <w:rPr>
      <w:rFonts w:ascii="宋体" w:hAnsi="宋体"/>
      <w:b/>
      <w:kern w:val="2"/>
      <w:sz w:val="21"/>
      <w:szCs w:val="24"/>
    </w:rPr>
  </w:style>
  <w:style w:type="paragraph" w:customStyle="1" w:styleId="357">
    <w:name w:val="4级标题（1.1项目概况)"/>
    <w:basedOn w:val="1"/>
    <w:link w:val="356"/>
    <w:qFormat/>
    <w:locked/>
    <w:uiPriority w:val="0"/>
    <w:pPr>
      <w:spacing w:line="360" w:lineRule="auto"/>
      <w:outlineLvl w:val="3"/>
    </w:pPr>
    <w:rPr>
      <w:rFonts w:ascii="宋体" w:hAnsi="宋体"/>
      <w:b/>
    </w:rPr>
  </w:style>
  <w:style w:type="character" w:customStyle="1" w:styleId="358">
    <w:name w:val="文章正文 Char"/>
    <w:link w:val="359"/>
    <w:qFormat/>
    <w:uiPriority w:val="0"/>
    <w:rPr>
      <w:rFonts w:ascii="宋体" w:hAnsi="宋体"/>
      <w:kern w:val="2"/>
      <w:sz w:val="21"/>
      <w:szCs w:val="21"/>
    </w:rPr>
  </w:style>
  <w:style w:type="paragraph" w:customStyle="1" w:styleId="359">
    <w:name w:val="文章正文"/>
    <w:basedOn w:val="1"/>
    <w:link w:val="358"/>
    <w:qFormat/>
    <w:locked/>
    <w:uiPriority w:val="0"/>
    <w:pPr>
      <w:spacing w:line="360" w:lineRule="auto"/>
      <w:ind w:firstLine="420" w:firstLineChars="200"/>
    </w:pPr>
    <w:rPr>
      <w:rFonts w:ascii="宋体" w:hAnsi="宋体"/>
      <w:szCs w:val="21"/>
    </w:rPr>
  </w:style>
  <w:style w:type="character" w:customStyle="1" w:styleId="360">
    <w:name w:val="Char Char16"/>
    <w:qFormat/>
    <w:uiPriority w:val="0"/>
    <w:rPr>
      <w:rFonts w:ascii="Times New Roman" w:hAnsi="Times New Roman" w:eastAsia="宋体" w:cs="Times New Roman"/>
      <w:sz w:val="18"/>
      <w:szCs w:val="18"/>
    </w:rPr>
  </w:style>
  <w:style w:type="character" w:customStyle="1" w:styleId="361">
    <w:name w:val="页码1"/>
    <w:basedOn w:val="63"/>
    <w:qFormat/>
    <w:uiPriority w:val="0"/>
  </w:style>
  <w:style w:type="character" w:customStyle="1" w:styleId="362">
    <w:name w:val="Char Char11"/>
    <w:qFormat/>
    <w:uiPriority w:val="0"/>
    <w:rPr>
      <w:b/>
      <w:bCs/>
      <w:kern w:val="44"/>
      <w:sz w:val="44"/>
      <w:szCs w:val="44"/>
    </w:rPr>
  </w:style>
  <w:style w:type="character" w:customStyle="1" w:styleId="363">
    <w:name w:val="Para head"/>
    <w:qFormat/>
    <w:uiPriority w:val="0"/>
    <w:rPr>
      <w:rFonts w:ascii="Arial" w:hAnsi="Arial" w:eastAsia="Times New Roman"/>
      <w:sz w:val="20"/>
    </w:rPr>
  </w:style>
  <w:style w:type="character" w:customStyle="1" w:styleId="364">
    <w:name w:val="Preformatted Char Char"/>
    <w:qFormat/>
    <w:uiPriority w:val="0"/>
    <w:rPr>
      <w:rFonts w:ascii="Courier New" w:hAnsi="Courier New" w:eastAsia="宋体"/>
      <w:lang w:val="en-US" w:eastAsia="zh-CN"/>
    </w:rPr>
  </w:style>
  <w:style w:type="character" w:customStyle="1" w:styleId="365">
    <w:name w:val="Blockquote Char Char"/>
    <w:link w:val="366"/>
    <w:qFormat/>
    <w:uiPriority w:val="0"/>
    <w:rPr>
      <w:sz w:val="24"/>
    </w:rPr>
  </w:style>
  <w:style w:type="paragraph" w:customStyle="1" w:styleId="366">
    <w:name w:val="Blockquote"/>
    <w:basedOn w:val="1"/>
    <w:link w:val="365"/>
    <w:qFormat/>
    <w:uiPriority w:val="0"/>
    <w:pPr>
      <w:ind w:left="360" w:right="360"/>
      <w:jc w:val="left"/>
    </w:pPr>
    <w:rPr>
      <w:kern w:val="0"/>
      <w:sz w:val="24"/>
      <w:szCs w:val="20"/>
    </w:rPr>
  </w:style>
  <w:style w:type="paragraph" w:customStyle="1" w:styleId="367">
    <w:name w:val="样式 样式 第四行 + 左侧:  -4 字符 段前: 2 行 + 左侧:  -3 字符 段前: 2 行"/>
    <w:basedOn w:val="368"/>
    <w:qFormat/>
    <w:uiPriority w:val="0"/>
    <w:pPr>
      <w:ind w:left="-200" w:leftChars="-200"/>
    </w:pPr>
  </w:style>
  <w:style w:type="paragraph" w:customStyle="1" w:styleId="368">
    <w:name w:val="样式 第四行 + 左侧:  -4 字符 段前: 2 行"/>
    <w:basedOn w:val="369"/>
    <w:qFormat/>
    <w:uiPriority w:val="0"/>
    <w:pPr>
      <w:ind w:left="-300" w:leftChars="-300"/>
    </w:pPr>
    <w:rPr>
      <w:szCs w:val="20"/>
    </w:rPr>
  </w:style>
  <w:style w:type="paragraph" w:customStyle="1" w:styleId="369">
    <w:name w:val="第四行"/>
    <w:basedOn w:val="1"/>
    <w:qFormat/>
    <w:uiPriority w:val="0"/>
    <w:pPr>
      <w:spacing w:beforeLines="200" w:line="360" w:lineRule="auto"/>
      <w:ind w:left="-400" w:leftChars="-400"/>
      <w:jc w:val="center"/>
    </w:pPr>
    <w:rPr>
      <w:rFonts w:ascii="宋体"/>
      <w:b/>
      <w:bCs/>
      <w:sz w:val="28"/>
      <w:szCs w:val="28"/>
    </w:rPr>
  </w:style>
  <w:style w:type="character" w:customStyle="1" w:styleId="370">
    <w:name w:val="注释标题 Char2"/>
    <w:basedOn w:val="63"/>
    <w:semiHidden/>
    <w:qFormat/>
    <w:uiPriority w:val="0"/>
    <w:rPr>
      <w:kern w:val="2"/>
      <w:sz w:val="21"/>
      <w:szCs w:val="24"/>
    </w:rPr>
  </w:style>
  <w:style w:type="paragraph" w:customStyle="1" w:styleId="371">
    <w:name w:val="123"/>
    <w:basedOn w:val="1"/>
    <w:qFormat/>
    <w:uiPriority w:val="0"/>
    <w:pPr>
      <w:numPr>
        <w:ilvl w:val="1"/>
        <w:numId w:val="4"/>
      </w:numPr>
      <w:tabs>
        <w:tab w:val="left" w:pos="1155"/>
        <w:tab w:val="left" w:pos="1440"/>
      </w:tabs>
      <w:ind w:firstLine="0"/>
    </w:pPr>
    <w:rPr>
      <w:bCs/>
    </w:rPr>
  </w:style>
  <w:style w:type="character" w:customStyle="1" w:styleId="372">
    <w:name w:val="正文文本 3 Char1"/>
    <w:basedOn w:val="63"/>
    <w:semiHidden/>
    <w:qFormat/>
    <w:uiPriority w:val="0"/>
    <w:rPr>
      <w:kern w:val="2"/>
      <w:sz w:val="16"/>
      <w:szCs w:val="16"/>
    </w:rPr>
  </w:style>
  <w:style w:type="paragraph" w:customStyle="1" w:styleId="373">
    <w:name w:val="CM96"/>
    <w:basedOn w:val="127"/>
    <w:next w:val="127"/>
    <w:qFormat/>
    <w:uiPriority w:val="0"/>
    <w:pPr>
      <w:spacing w:line="626" w:lineRule="atLeast"/>
    </w:pPr>
    <w:rPr>
      <w:rFonts w:ascii="宋体" w:hAnsi="Calibri" w:eastAsia="宋体" w:cs="Times New Roman"/>
      <w:color w:val="auto"/>
    </w:rPr>
  </w:style>
  <w:style w:type="paragraph" w:customStyle="1" w:styleId="374">
    <w:name w:val="xl106"/>
    <w:basedOn w:val="1"/>
    <w:qFormat/>
    <w:uiPriority w:val="99"/>
    <w:pPr>
      <w:widowControl/>
      <w:pBdr>
        <w:top w:val="single" w:color="auto" w:sz="8" w:space="0"/>
        <w:lef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375">
    <w:name w:val="标注》"/>
    <w:basedOn w:val="1"/>
    <w:qFormat/>
    <w:uiPriority w:val="0"/>
    <w:pPr>
      <w:tabs>
        <w:tab w:val="left" w:pos="360"/>
      </w:tabs>
      <w:spacing w:after="60" w:line="360" w:lineRule="auto"/>
      <w:ind w:firstLine="200" w:firstLineChars="200"/>
    </w:pPr>
    <w:rPr>
      <w:rFonts w:eastAsia="黑体"/>
      <w:b/>
      <w:sz w:val="24"/>
      <w:szCs w:val="20"/>
    </w:rPr>
  </w:style>
  <w:style w:type="character" w:customStyle="1" w:styleId="376">
    <w:name w:val="尾注文本 Char1"/>
    <w:basedOn w:val="63"/>
    <w:semiHidden/>
    <w:qFormat/>
    <w:uiPriority w:val="99"/>
    <w:rPr>
      <w:kern w:val="2"/>
      <w:sz w:val="21"/>
      <w:szCs w:val="24"/>
    </w:rPr>
  </w:style>
  <w:style w:type="paragraph" w:customStyle="1" w:styleId="377">
    <w:name w:val="xl70"/>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eastAsia="Arial Unicode MS"/>
      <w:kern w:val="0"/>
      <w:sz w:val="12"/>
      <w:szCs w:val="12"/>
    </w:rPr>
  </w:style>
  <w:style w:type="paragraph" w:customStyle="1" w:styleId="378">
    <w:name w:val="Char Char 字元 字元 字元 Char Char Char Char"/>
    <w:basedOn w:val="1"/>
    <w:qFormat/>
    <w:uiPriority w:val="0"/>
    <w:pPr>
      <w:adjustRightInd w:val="0"/>
      <w:spacing w:line="360" w:lineRule="auto"/>
    </w:pPr>
    <w:rPr>
      <w:kern w:val="0"/>
      <w:sz w:val="24"/>
      <w:szCs w:val="20"/>
    </w:rPr>
  </w:style>
  <w:style w:type="paragraph" w:customStyle="1" w:styleId="379">
    <w:name w:val="xl90"/>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80">
    <w:name w:val="Absatz2AL"/>
    <w:basedOn w:val="23"/>
    <w:next w:val="1"/>
    <w:qFormat/>
    <w:uiPriority w:val="0"/>
    <w:pPr>
      <w:widowControl/>
      <w:overflowPunct w:val="0"/>
      <w:autoSpaceDE w:val="0"/>
      <w:autoSpaceDN w:val="0"/>
      <w:adjustRightInd w:val="0"/>
      <w:spacing w:after="0"/>
      <w:textAlignment w:val="baseline"/>
    </w:pPr>
    <w:rPr>
      <w:rFonts w:eastAsia="楷体_GB2312"/>
      <w:sz w:val="24"/>
      <w:szCs w:val="20"/>
      <w:lang w:val="de-DE" w:eastAsia="de-DE"/>
    </w:rPr>
  </w:style>
  <w:style w:type="paragraph" w:customStyle="1" w:styleId="381">
    <w:name w:val="xl120"/>
    <w:basedOn w:val="1"/>
    <w:qFormat/>
    <w:uiPriority w:val="99"/>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82">
    <w:name w:val="表标题"/>
    <w:basedOn w:val="1"/>
    <w:qFormat/>
    <w:uiPriority w:val="0"/>
    <w:pPr>
      <w:widowControl/>
      <w:spacing w:beforeLines="100" w:line="280" w:lineRule="exact"/>
      <w:ind w:firstLine="50" w:firstLineChars="50"/>
      <w:jc w:val="left"/>
    </w:pPr>
    <w:rPr>
      <w:rFonts w:eastAsia="黑体"/>
      <w:kern w:val="0"/>
      <w:sz w:val="24"/>
    </w:rPr>
  </w:style>
  <w:style w:type="character" w:customStyle="1" w:styleId="383">
    <w:name w:val="副标题 Char1"/>
    <w:basedOn w:val="63"/>
    <w:qFormat/>
    <w:uiPriority w:val="0"/>
    <w:rPr>
      <w:rFonts w:asciiTheme="majorHAnsi" w:hAnsiTheme="majorHAnsi" w:cstheme="majorBidi"/>
      <w:b/>
      <w:bCs/>
      <w:kern w:val="28"/>
      <w:sz w:val="32"/>
      <w:szCs w:val="32"/>
    </w:rPr>
  </w:style>
  <w:style w:type="paragraph" w:customStyle="1" w:styleId="384">
    <w:name w:val="xl8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character" w:customStyle="1" w:styleId="385">
    <w:name w:val="正文首行缩进 2 Char1"/>
    <w:basedOn w:val="107"/>
    <w:semiHidden/>
    <w:qFormat/>
    <w:uiPriority w:val="0"/>
    <w:rPr>
      <w:rFonts w:ascii="仿宋_GB2312" w:eastAsia="仿宋_GB2312"/>
      <w:kern w:val="2"/>
      <w:sz w:val="21"/>
      <w:szCs w:val="24"/>
    </w:rPr>
  </w:style>
  <w:style w:type="paragraph" w:customStyle="1" w:styleId="386">
    <w:name w:val="xl79"/>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87">
    <w:name w:val="Char Char Char Char Char Char Char Char Char Char Char Char Char Char Char Char Char Char Char Char Char Char Char Char"/>
    <w:basedOn w:val="1"/>
    <w:qFormat/>
    <w:uiPriority w:val="0"/>
    <w:rPr>
      <w:rFonts w:ascii="仿宋_GB2312" w:eastAsia="仿宋_GB2312"/>
      <w:b/>
      <w:sz w:val="32"/>
      <w:szCs w:val="32"/>
    </w:rPr>
  </w:style>
  <w:style w:type="paragraph" w:customStyle="1" w:styleId="388">
    <w:name w:val="xl95"/>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89">
    <w:name w:val="姓名"/>
    <w:basedOn w:val="23"/>
    <w:qFormat/>
    <w:uiPriority w:val="99"/>
    <w:pPr>
      <w:widowControl/>
      <w:overflowPunct w:val="0"/>
      <w:autoSpaceDE w:val="0"/>
      <w:autoSpaceDN w:val="0"/>
      <w:adjustRightInd w:val="0"/>
      <w:spacing w:after="0"/>
      <w:ind w:left="-1080"/>
      <w:jc w:val="left"/>
      <w:textAlignment w:val="baseline"/>
    </w:pPr>
    <w:rPr>
      <w:b/>
      <w:i/>
      <w:sz w:val="32"/>
      <w:szCs w:val="20"/>
    </w:rPr>
  </w:style>
  <w:style w:type="paragraph" w:customStyle="1" w:styleId="390">
    <w:name w:val="xl107"/>
    <w:basedOn w:val="1"/>
    <w:qFormat/>
    <w:uiPriority w:val="99"/>
    <w:pPr>
      <w:widowControl/>
      <w:pBdr>
        <w:top w:val="single" w:color="auto" w:sz="8"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391">
    <w:name w:val="xl109"/>
    <w:basedOn w:val="1"/>
    <w:qFormat/>
    <w:uiPriority w:val="99"/>
    <w:pPr>
      <w:widowControl/>
      <w:pBdr>
        <w:lef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392">
    <w:name w:val="敏感表"/>
    <w:basedOn w:val="1"/>
    <w:next w:val="1"/>
    <w:qFormat/>
    <w:uiPriority w:val="99"/>
    <w:pPr>
      <w:topLinePunct/>
      <w:adjustRightInd w:val="0"/>
      <w:spacing w:line="240" w:lineRule="atLeast"/>
      <w:jc w:val="center"/>
      <w:textAlignment w:val="bottom"/>
    </w:pPr>
    <w:rPr>
      <w:kern w:val="0"/>
      <w:szCs w:val="20"/>
    </w:rPr>
  </w:style>
  <w:style w:type="character" w:customStyle="1" w:styleId="393">
    <w:name w:val="标题 Char2"/>
    <w:basedOn w:val="63"/>
    <w:qFormat/>
    <w:uiPriority w:val="99"/>
    <w:rPr>
      <w:rFonts w:asciiTheme="majorHAnsi" w:hAnsiTheme="majorHAnsi" w:cstheme="majorBidi"/>
      <w:b/>
      <w:bCs/>
      <w:kern w:val="2"/>
      <w:sz w:val="32"/>
      <w:szCs w:val="32"/>
    </w:rPr>
  </w:style>
  <w:style w:type="paragraph" w:customStyle="1" w:styleId="394">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character" w:customStyle="1" w:styleId="395">
    <w:name w:val="HTML 预设格式 Char1"/>
    <w:basedOn w:val="63"/>
    <w:semiHidden/>
    <w:qFormat/>
    <w:uiPriority w:val="0"/>
    <w:rPr>
      <w:rFonts w:ascii="Courier New" w:hAnsi="Courier New" w:cs="Courier New"/>
      <w:kern w:val="2"/>
    </w:rPr>
  </w:style>
  <w:style w:type="character" w:customStyle="1" w:styleId="396">
    <w:name w:val="正文文本 2 Char3"/>
    <w:basedOn w:val="63"/>
    <w:semiHidden/>
    <w:qFormat/>
    <w:uiPriority w:val="99"/>
    <w:rPr>
      <w:kern w:val="2"/>
      <w:sz w:val="21"/>
      <w:szCs w:val="24"/>
    </w:rPr>
  </w:style>
  <w:style w:type="paragraph" w:customStyle="1" w:styleId="397">
    <w:name w:val="xl69"/>
    <w:basedOn w:val="1"/>
    <w:qFormat/>
    <w:uiPriority w:val="99"/>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2"/>
      <w:szCs w:val="12"/>
    </w:rPr>
  </w:style>
  <w:style w:type="paragraph" w:customStyle="1" w:styleId="398">
    <w:name w:val="规范正文"/>
    <w:basedOn w:val="1"/>
    <w:qFormat/>
    <w:uiPriority w:val="0"/>
    <w:pPr>
      <w:widowControl/>
      <w:adjustRightInd w:val="0"/>
      <w:spacing w:after="200" w:line="360" w:lineRule="auto"/>
      <w:ind w:left="480" w:firstLine="425"/>
      <w:jc w:val="left"/>
      <w:textAlignment w:val="baseline"/>
    </w:pPr>
    <w:rPr>
      <w:rFonts w:ascii="Calibri" w:hAnsi="Calibri"/>
      <w:kern w:val="0"/>
      <w:sz w:val="24"/>
      <w:szCs w:val="20"/>
      <w:lang w:eastAsia="en-US"/>
    </w:rPr>
  </w:style>
  <w:style w:type="character" w:customStyle="1" w:styleId="399">
    <w:name w:val="脚注文本 Char1"/>
    <w:basedOn w:val="63"/>
    <w:semiHidden/>
    <w:qFormat/>
    <w:uiPriority w:val="99"/>
    <w:rPr>
      <w:kern w:val="2"/>
      <w:sz w:val="18"/>
      <w:szCs w:val="18"/>
    </w:rPr>
  </w:style>
  <w:style w:type="paragraph" w:customStyle="1" w:styleId="400">
    <w:name w:val="xl81"/>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2"/>
      <w:szCs w:val="12"/>
    </w:rPr>
  </w:style>
  <w:style w:type="paragraph" w:customStyle="1" w:styleId="401">
    <w:name w:val="+标题4"/>
    <w:basedOn w:val="5"/>
    <w:qFormat/>
    <w:uiPriority w:val="0"/>
    <w:pPr>
      <w:tabs>
        <w:tab w:val="left" w:pos="1680"/>
      </w:tabs>
      <w:spacing w:before="120" w:after="120" w:line="360" w:lineRule="auto"/>
      <w:ind w:left="1680" w:hanging="420"/>
    </w:pPr>
    <w:rPr>
      <w:rFonts w:ascii="Times New Roman" w:hAnsi="Times New Roman" w:eastAsia="宋体"/>
      <w:sz w:val="24"/>
    </w:rPr>
  </w:style>
  <w:style w:type="paragraph" w:customStyle="1" w:styleId="402">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hint="eastAsia" w:ascii="仿宋_GB2312" w:hAnsi="宋体" w:eastAsia="仿宋_GB2312"/>
      <w:kern w:val="0"/>
      <w:sz w:val="24"/>
    </w:rPr>
  </w:style>
  <w:style w:type="paragraph" w:customStyle="1" w:styleId="403">
    <w:name w:val="xl75"/>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404">
    <w:name w:val="a2"/>
    <w:basedOn w:val="1"/>
    <w:qFormat/>
    <w:uiPriority w:val="0"/>
    <w:pPr>
      <w:widowControl/>
      <w:spacing w:after="200" w:line="440" w:lineRule="atLeast"/>
      <w:ind w:firstLine="567"/>
      <w:jc w:val="left"/>
    </w:pPr>
    <w:rPr>
      <w:rFonts w:ascii="Arial Narrow" w:hAnsi="Arial Narrow"/>
      <w:kern w:val="0"/>
      <w:sz w:val="24"/>
      <w:szCs w:val="22"/>
      <w:lang w:eastAsia="en-US"/>
    </w:rPr>
  </w:style>
  <w:style w:type="paragraph" w:customStyle="1" w:styleId="405">
    <w:name w:val="xl105"/>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406">
    <w:name w:val="一"/>
    <w:basedOn w:val="2"/>
    <w:qFormat/>
    <w:uiPriority w:val="0"/>
    <w:pPr>
      <w:keepNext w:val="0"/>
      <w:tabs>
        <w:tab w:val="left" w:pos="540"/>
        <w:tab w:val="left" w:pos="840"/>
      </w:tabs>
      <w:spacing w:line="360" w:lineRule="auto"/>
      <w:ind w:left="180"/>
    </w:pPr>
    <w:rPr>
      <w:rFonts w:ascii="宋体" w:hAnsi="宋体" w:eastAsia="宋体"/>
      <w:color w:val="auto"/>
      <w:kern w:val="2"/>
      <w:sz w:val="28"/>
      <w:szCs w:val="24"/>
    </w:rPr>
  </w:style>
  <w:style w:type="paragraph" w:customStyle="1" w:styleId="407">
    <w:name w:val="CM66"/>
    <w:basedOn w:val="127"/>
    <w:next w:val="127"/>
    <w:qFormat/>
    <w:uiPriority w:val="0"/>
    <w:rPr>
      <w:rFonts w:ascii="宋体" w:hAnsi="Calibri" w:eastAsia="宋体" w:cs="Times New Roman"/>
      <w:color w:val="auto"/>
    </w:rPr>
  </w:style>
  <w:style w:type="paragraph" w:customStyle="1" w:styleId="408">
    <w:name w:val="xl7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2"/>
      <w:szCs w:val="12"/>
    </w:rPr>
  </w:style>
  <w:style w:type="paragraph" w:customStyle="1" w:styleId="409">
    <w:name w:val="自定义2"/>
    <w:basedOn w:val="410"/>
    <w:qFormat/>
    <w:uiPriority w:val="0"/>
  </w:style>
  <w:style w:type="paragraph" w:customStyle="1" w:styleId="410">
    <w:name w:val="自定义1"/>
    <w:basedOn w:val="1"/>
    <w:qFormat/>
    <w:uiPriority w:val="0"/>
    <w:pPr>
      <w:spacing w:line="460" w:lineRule="exact"/>
    </w:pPr>
    <w:rPr>
      <w:rFonts w:ascii="宋体"/>
      <w:kern w:val="0"/>
      <w:sz w:val="24"/>
    </w:rPr>
  </w:style>
  <w:style w:type="paragraph" w:customStyle="1" w:styleId="411">
    <w:name w:val="Style6"/>
    <w:basedOn w:val="4"/>
    <w:qFormat/>
    <w:uiPriority w:val="0"/>
    <w:pPr>
      <w:keepLines w:val="0"/>
      <w:widowControl/>
      <w:tabs>
        <w:tab w:val="left" w:pos="1260"/>
      </w:tabs>
      <w:spacing w:before="0" w:after="0" w:line="240" w:lineRule="auto"/>
      <w:ind w:firstLine="0" w:firstLineChars="0"/>
      <w:jc w:val="left"/>
    </w:pPr>
    <w:rPr>
      <w:rFonts w:hAnsi="宋体"/>
      <w:color w:val="4F81BD"/>
      <w:sz w:val="24"/>
      <w:szCs w:val="20"/>
      <w:lang w:eastAsia="en-US"/>
    </w:rPr>
  </w:style>
  <w:style w:type="paragraph" w:customStyle="1" w:styleId="412">
    <w:name w:val="xl97"/>
    <w:basedOn w:val="1"/>
    <w:qFormat/>
    <w:uiPriority w:val="99"/>
    <w:pPr>
      <w:widowControl/>
      <w:pBdr>
        <w:top w:val="single" w:color="auto" w:sz="8" w:space="0"/>
        <w:left w:val="single" w:color="auto" w:sz="8"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413">
    <w:name w:val="Style2"/>
    <w:basedOn w:val="4"/>
    <w:qFormat/>
    <w:uiPriority w:val="0"/>
    <w:pPr>
      <w:keepLines w:val="0"/>
      <w:widowControl/>
      <w:tabs>
        <w:tab w:val="left" w:pos="1080"/>
        <w:tab w:val="left" w:pos="1680"/>
      </w:tabs>
      <w:spacing w:before="0" w:after="0" w:line="240" w:lineRule="auto"/>
      <w:ind w:left="720" w:hanging="720" w:firstLineChars="0"/>
      <w:jc w:val="left"/>
    </w:pPr>
    <w:rPr>
      <w:rFonts w:hAnsi="宋体"/>
      <w:bCs w:val="0"/>
      <w:color w:val="4F81BD"/>
      <w:sz w:val="24"/>
      <w:szCs w:val="20"/>
      <w:lang w:eastAsia="en-US"/>
    </w:rPr>
  </w:style>
  <w:style w:type="paragraph" w:customStyle="1" w:styleId="414">
    <w:name w:val="xl93"/>
    <w:basedOn w:val="1"/>
    <w:qFormat/>
    <w:uiPriority w:val="99"/>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15">
    <w:name w:val="xl137"/>
    <w:basedOn w:val="1"/>
    <w:qFormat/>
    <w:uiPriority w:val="99"/>
    <w:pPr>
      <w:widowControl/>
      <w:pBdr>
        <w:top w:val="single" w:color="auto" w:sz="8" w:space="0"/>
        <w:lef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416">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417">
    <w:name w:val="小节标题"/>
    <w:basedOn w:val="1"/>
    <w:next w:val="1"/>
    <w:qFormat/>
    <w:uiPriority w:val="0"/>
    <w:pPr>
      <w:widowControl/>
      <w:spacing w:before="175" w:after="102" w:line="351" w:lineRule="atLeast"/>
      <w:jc w:val="left"/>
      <w:textAlignment w:val="baseline"/>
    </w:pPr>
    <w:rPr>
      <w:rFonts w:ascii="Calibri" w:hAnsi="Calibri" w:eastAsia="黑体"/>
      <w:color w:val="000000"/>
      <w:kern w:val="0"/>
      <w:sz w:val="22"/>
      <w:szCs w:val="20"/>
      <w:u w:color="000000"/>
      <w:lang w:eastAsia="en-US"/>
    </w:rPr>
  </w:style>
  <w:style w:type="paragraph" w:customStyle="1" w:styleId="418">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419">
    <w:name w:val="xl138"/>
    <w:basedOn w:val="1"/>
    <w:qFormat/>
    <w:uiPriority w:val="99"/>
    <w:pPr>
      <w:widowControl/>
      <w:pBdr>
        <w:top w:val="single" w:color="auto" w:sz="8" w:space="0"/>
        <w:righ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420">
    <w:name w:val="具体项目"/>
    <w:basedOn w:val="15"/>
    <w:qFormat/>
    <w:uiPriority w:val="0"/>
    <w:pPr>
      <w:tabs>
        <w:tab w:val="left" w:pos="2100"/>
        <w:tab w:val="clear" w:pos="750"/>
      </w:tabs>
      <w:snapToGrid w:val="0"/>
      <w:spacing w:beforeLines="0" w:after="120" w:line="360" w:lineRule="auto"/>
      <w:ind w:left="2100" w:hanging="420" w:firstLineChars="0"/>
    </w:pPr>
    <w:rPr>
      <w:rFonts w:ascii="Times New Roman"/>
      <w:sz w:val="24"/>
      <w:lang w:eastAsia="en-US"/>
    </w:rPr>
  </w:style>
  <w:style w:type="paragraph" w:customStyle="1" w:styleId="421">
    <w:name w:val="批注框文本 Char Char"/>
    <w:basedOn w:val="1"/>
    <w:qFormat/>
    <w:uiPriority w:val="0"/>
    <w:pPr>
      <w:widowControl/>
      <w:jc w:val="left"/>
    </w:pPr>
    <w:rPr>
      <w:kern w:val="0"/>
      <w:sz w:val="18"/>
      <w:szCs w:val="20"/>
    </w:rPr>
  </w:style>
  <w:style w:type="paragraph" w:customStyle="1" w:styleId="422">
    <w:name w:val="font13"/>
    <w:basedOn w:val="1"/>
    <w:qFormat/>
    <w:uiPriority w:val="99"/>
    <w:pPr>
      <w:widowControl/>
      <w:spacing w:before="100" w:beforeAutospacing="1" w:after="100" w:afterAutospacing="1"/>
      <w:jc w:val="left"/>
    </w:pPr>
    <w:rPr>
      <w:kern w:val="0"/>
      <w:sz w:val="28"/>
      <w:szCs w:val="28"/>
    </w:rPr>
  </w:style>
  <w:style w:type="paragraph" w:customStyle="1" w:styleId="423">
    <w:name w:val="+标题2"/>
    <w:basedOn w:val="3"/>
    <w:qFormat/>
    <w:uiPriority w:val="0"/>
    <w:pPr>
      <w:tabs>
        <w:tab w:val="left" w:pos="840"/>
      </w:tabs>
      <w:ind w:left="840" w:hanging="420"/>
      <w:jc w:val="both"/>
    </w:pPr>
    <w:rPr>
      <w:rFonts w:ascii="Times New Roman" w:hAnsi="Times New Roman"/>
      <w:kern w:val="2"/>
      <w:sz w:val="24"/>
      <w:szCs w:val="28"/>
    </w:rPr>
  </w:style>
  <w:style w:type="paragraph" w:customStyle="1" w:styleId="424">
    <w:name w:val="Table_M"/>
    <w:basedOn w:val="1"/>
    <w:qFormat/>
    <w:uiPriority w:val="99"/>
    <w:pPr>
      <w:jc w:val="center"/>
    </w:pPr>
    <w:rPr>
      <w:szCs w:val="21"/>
    </w:rPr>
  </w:style>
  <w:style w:type="paragraph" w:customStyle="1" w:styleId="425">
    <w:name w:val="xl104"/>
    <w:basedOn w:val="1"/>
    <w:qFormat/>
    <w:uiPriority w:val="99"/>
    <w:pPr>
      <w:widowControl/>
      <w:pBdr>
        <w:bottom w:val="single" w:color="auto" w:sz="4"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426">
    <w:name w:val="+标题3"/>
    <w:basedOn w:val="4"/>
    <w:qFormat/>
    <w:uiPriority w:val="0"/>
    <w:pPr>
      <w:keepLines w:val="0"/>
      <w:widowControl/>
      <w:tabs>
        <w:tab w:val="left" w:pos="1260"/>
      </w:tabs>
      <w:spacing w:before="0"/>
      <w:ind w:left="1260" w:hanging="420" w:firstLineChars="0"/>
    </w:pPr>
    <w:rPr>
      <w:rFonts w:ascii="Times New Roman"/>
      <w:sz w:val="24"/>
      <w:szCs w:val="28"/>
      <w:lang w:bidi="en-US"/>
    </w:rPr>
  </w:style>
  <w:style w:type="paragraph" w:customStyle="1" w:styleId="427">
    <w:name w:val="xl98"/>
    <w:basedOn w:val="1"/>
    <w:qFormat/>
    <w:uiPriority w:val="99"/>
    <w:pPr>
      <w:widowControl/>
      <w:pBdr>
        <w:top w:val="single" w:color="auto" w:sz="8"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428">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9">
    <w:name w:val="xl122"/>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character" w:customStyle="1" w:styleId="430">
    <w:name w:val="明显引用 Char1"/>
    <w:basedOn w:val="63"/>
    <w:qFormat/>
    <w:uiPriority w:val="0"/>
    <w:rPr>
      <w:b/>
      <w:bCs/>
      <w:i/>
      <w:iCs/>
      <w:color w:val="4F81BD" w:themeColor="accent1"/>
      <w:kern w:val="2"/>
      <w:sz w:val="21"/>
      <w:szCs w:val="24"/>
      <w14:textFill>
        <w14:solidFill>
          <w14:schemeClr w14:val="accent1"/>
        </w14:solidFill>
      </w14:textFill>
    </w:rPr>
  </w:style>
  <w:style w:type="paragraph" w:customStyle="1" w:styleId="431">
    <w:name w:val="CM59"/>
    <w:basedOn w:val="127"/>
    <w:next w:val="127"/>
    <w:qFormat/>
    <w:uiPriority w:val="0"/>
    <w:rPr>
      <w:rFonts w:ascii="宋体" w:hAnsi="Calibri" w:eastAsia="宋体" w:cs="Times New Roman"/>
      <w:color w:val="auto"/>
    </w:rPr>
  </w:style>
  <w:style w:type="paragraph" w:customStyle="1" w:styleId="432">
    <w:name w:val="xl8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2"/>
      <w:szCs w:val="12"/>
    </w:rPr>
  </w:style>
  <w:style w:type="paragraph" w:customStyle="1" w:styleId="433">
    <w:name w:val="xl84"/>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12"/>
      <w:szCs w:val="12"/>
    </w:rPr>
  </w:style>
  <w:style w:type="paragraph" w:customStyle="1" w:styleId="434">
    <w:name w:val="xl116"/>
    <w:basedOn w:val="1"/>
    <w:qFormat/>
    <w:uiPriority w:val="99"/>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35">
    <w:name w:val="xl7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436">
    <w:name w:val="xl100"/>
    <w:basedOn w:val="1"/>
    <w:qFormat/>
    <w:uiPriority w:val="99"/>
    <w:pPr>
      <w:widowControl/>
      <w:pBdr>
        <w:left w:val="single" w:color="auto" w:sz="8"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437">
    <w:name w:val="xl96"/>
    <w:basedOn w:val="1"/>
    <w:qFormat/>
    <w:uiPriority w:val="99"/>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38">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439">
    <w:name w:val="样式 样式 正文（首行缩进两字） + 宋体 小四 首行缩进:  0 厘米 段前: 11.15 磅 段后: 11.15 磅 + 左..."/>
    <w:basedOn w:val="1"/>
    <w:qFormat/>
    <w:uiPriority w:val="0"/>
    <w:pPr>
      <w:snapToGrid w:val="0"/>
      <w:spacing w:before="223" w:after="223"/>
      <w:ind w:left="200" w:leftChars="200"/>
    </w:pPr>
    <w:rPr>
      <w:rFonts w:ascii="宋体" w:hAnsi="宋体"/>
      <w:sz w:val="24"/>
      <w:szCs w:val="28"/>
    </w:rPr>
  </w:style>
  <w:style w:type="character" w:customStyle="1" w:styleId="440">
    <w:name w:val="引用 Char1"/>
    <w:basedOn w:val="63"/>
    <w:qFormat/>
    <w:uiPriority w:val="0"/>
    <w:rPr>
      <w:i/>
      <w:iCs/>
      <w:color w:val="000000" w:themeColor="text1"/>
      <w:kern w:val="2"/>
      <w:sz w:val="21"/>
      <w:szCs w:val="24"/>
      <w14:textFill>
        <w14:solidFill>
          <w14:schemeClr w14:val="tx1"/>
        </w14:solidFill>
      </w14:textFill>
    </w:rPr>
  </w:style>
  <w:style w:type="paragraph" w:customStyle="1" w:styleId="441">
    <w:name w:val="CM97"/>
    <w:basedOn w:val="127"/>
    <w:next w:val="127"/>
    <w:qFormat/>
    <w:uiPriority w:val="0"/>
    <w:pPr>
      <w:spacing w:line="440" w:lineRule="atLeast"/>
    </w:pPr>
    <w:rPr>
      <w:rFonts w:ascii="宋体" w:hAnsi="Calibri" w:eastAsia="宋体" w:cs="Times New Roman"/>
      <w:color w:val="auto"/>
    </w:rPr>
  </w:style>
  <w:style w:type="paragraph" w:customStyle="1" w:styleId="442">
    <w:name w:val="xl113"/>
    <w:basedOn w:val="1"/>
    <w:qFormat/>
    <w:uiPriority w:val="99"/>
    <w:pPr>
      <w:widowControl/>
      <w:pBdr>
        <w:bottom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443">
    <w:name w:val="xl13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444">
    <w:name w:val="p12"/>
    <w:basedOn w:val="1"/>
    <w:qFormat/>
    <w:uiPriority w:val="0"/>
    <w:pPr>
      <w:widowControl/>
      <w:spacing w:before="100" w:beforeAutospacing="1" w:after="100" w:afterAutospacing="1"/>
      <w:jc w:val="left"/>
    </w:pPr>
    <w:rPr>
      <w:rFonts w:ascii="Calibri" w:hAnsi="Calibri"/>
      <w:color w:val="000000"/>
      <w:kern w:val="0"/>
      <w:sz w:val="24"/>
      <w:szCs w:val="20"/>
    </w:rPr>
  </w:style>
  <w:style w:type="paragraph" w:customStyle="1" w:styleId="445">
    <w:name w:val="xl7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46">
    <w:name w:val="CM44"/>
    <w:basedOn w:val="127"/>
    <w:next w:val="127"/>
    <w:qFormat/>
    <w:uiPriority w:val="0"/>
    <w:rPr>
      <w:rFonts w:ascii="宋体" w:hAnsi="Calibri" w:eastAsia="宋体" w:cs="Times New Roman"/>
      <w:color w:val="auto"/>
    </w:rPr>
  </w:style>
  <w:style w:type="paragraph" w:customStyle="1" w:styleId="447">
    <w:name w:val="CM32"/>
    <w:basedOn w:val="127"/>
    <w:next w:val="127"/>
    <w:qFormat/>
    <w:uiPriority w:val="0"/>
    <w:pPr>
      <w:spacing w:line="400" w:lineRule="atLeast"/>
    </w:pPr>
    <w:rPr>
      <w:rFonts w:ascii="宋体" w:hAnsi="Calibri" w:eastAsia="宋体" w:cs="Times New Roman"/>
      <w:color w:val="auto"/>
    </w:rPr>
  </w:style>
  <w:style w:type="paragraph" w:customStyle="1" w:styleId="448">
    <w:name w:val="样式 标题 3h33rd levelH3l33Level 3 Headlevel_3PIM 3Bold Hea...2"/>
    <w:basedOn w:val="4"/>
    <w:qFormat/>
    <w:uiPriority w:val="0"/>
    <w:pPr>
      <w:widowControl/>
      <w:spacing w:line="480" w:lineRule="auto"/>
      <w:ind w:firstLine="0" w:firstLineChars="0"/>
      <w:jc w:val="left"/>
    </w:pPr>
    <w:rPr>
      <w:rFonts w:ascii="Cambria" w:hAnsi="Cambria" w:eastAsia="黑体"/>
      <w:color w:val="4F81BD"/>
      <w:sz w:val="30"/>
      <w:szCs w:val="30"/>
      <w:lang w:eastAsia="en-US"/>
    </w:rPr>
  </w:style>
  <w:style w:type="paragraph" w:customStyle="1" w:styleId="449">
    <w:name w:val="CM54"/>
    <w:basedOn w:val="127"/>
    <w:next w:val="127"/>
    <w:qFormat/>
    <w:uiPriority w:val="0"/>
    <w:pPr>
      <w:spacing w:line="468" w:lineRule="atLeast"/>
    </w:pPr>
    <w:rPr>
      <w:rFonts w:ascii="宋体" w:hAnsi="Calibri" w:eastAsia="宋体" w:cs="Times New Roman"/>
      <w:color w:val="auto"/>
    </w:rPr>
  </w:style>
  <w:style w:type="paragraph" w:customStyle="1" w:styleId="450">
    <w:name w:val="样式 样式 首行缩进:  2 字符 + 首行缩进:  2 字符2"/>
    <w:basedOn w:val="1"/>
    <w:qFormat/>
    <w:uiPriority w:val="99"/>
    <w:pPr>
      <w:spacing w:line="440" w:lineRule="exact"/>
      <w:ind w:firstLine="584" w:firstLineChars="200"/>
    </w:pPr>
    <w:rPr>
      <w:rFonts w:eastAsia="楷体_GB2312"/>
      <w:spacing w:val="6"/>
      <w:kern w:val="0"/>
      <w:sz w:val="28"/>
      <w:szCs w:val="21"/>
    </w:rPr>
  </w:style>
  <w:style w:type="paragraph" w:customStyle="1" w:styleId="451">
    <w:name w:val="CM5"/>
    <w:basedOn w:val="127"/>
    <w:next w:val="127"/>
    <w:qFormat/>
    <w:uiPriority w:val="0"/>
    <w:pPr>
      <w:spacing w:line="313" w:lineRule="atLeast"/>
    </w:pPr>
    <w:rPr>
      <w:rFonts w:ascii="宋体" w:hAnsi="Calibri" w:eastAsia="宋体" w:cs="Times New Roman"/>
      <w:color w:val="auto"/>
    </w:rPr>
  </w:style>
  <w:style w:type="paragraph" w:customStyle="1" w:styleId="452">
    <w:name w:val="solutionscopy"/>
    <w:basedOn w:val="1"/>
    <w:qFormat/>
    <w:uiPriority w:val="0"/>
    <w:pPr>
      <w:widowControl/>
      <w:spacing w:before="100" w:beforeAutospacing="1" w:after="100" w:afterAutospacing="1" w:line="300" w:lineRule="atLeast"/>
      <w:jc w:val="left"/>
    </w:pPr>
    <w:rPr>
      <w:rFonts w:ascii="Verdana" w:hAnsi="Verdana"/>
      <w:color w:val="000000"/>
      <w:kern w:val="0"/>
      <w:sz w:val="18"/>
      <w:szCs w:val="18"/>
      <w:lang w:eastAsia="en-US"/>
    </w:rPr>
  </w:style>
  <w:style w:type="paragraph" w:customStyle="1" w:styleId="453">
    <w:name w:val="正文文本 22"/>
    <w:basedOn w:val="1"/>
    <w:qFormat/>
    <w:uiPriority w:val="99"/>
    <w:pPr>
      <w:spacing w:after="120" w:line="480" w:lineRule="auto"/>
    </w:pPr>
  </w:style>
  <w:style w:type="paragraph" w:customStyle="1" w:styleId="454">
    <w:name w:val="xl133"/>
    <w:basedOn w:val="1"/>
    <w:qFormat/>
    <w:uiPriority w:val="99"/>
    <w:pPr>
      <w:widowControl/>
      <w:pBdr>
        <w:top w:val="single" w:color="auto" w:sz="8" w:space="0"/>
        <w:left w:val="single" w:color="auto" w:sz="8" w:space="0"/>
        <w:bottom w:val="single" w:color="auto" w:sz="4"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455">
    <w:name w:val="正文文本 21"/>
    <w:basedOn w:val="1"/>
    <w:qFormat/>
    <w:uiPriority w:val="99"/>
    <w:pPr>
      <w:spacing w:after="120" w:line="480" w:lineRule="auto"/>
    </w:pPr>
  </w:style>
  <w:style w:type="paragraph" w:customStyle="1" w:styleId="456">
    <w:name w:val="表格内容"/>
    <w:basedOn w:val="1"/>
    <w:qFormat/>
    <w:uiPriority w:val="0"/>
    <w:pPr>
      <w:widowControl/>
      <w:spacing w:line="260" w:lineRule="exact"/>
      <w:jc w:val="center"/>
    </w:pPr>
    <w:rPr>
      <w:kern w:val="0"/>
      <w:sz w:val="20"/>
      <w:szCs w:val="20"/>
    </w:rPr>
  </w:style>
  <w:style w:type="paragraph" w:customStyle="1" w:styleId="457">
    <w:name w:val="表栏名"/>
    <w:basedOn w:val="1"/>
    <w:qFormat/>
    <w:uiPriority w:val="0"/>
    <w:pPr>
      <w:widowControl/>
      <w:adjustRightInd w:val="0"/>
      <w:spacing w:after="200" w:line="280" w:lineRule="atLeast"/>
      <w:jc w:val="center"/>
      <w:textAlignment w:val="baseline"/>
    </w:pPr>
    <w:rPr>
      <w:rFonts w:ascii="Calibri" w:hAnsi="Calibri" w:eastAsia="黑体"/>
      <w:kern w:val="0"/>
      <w:sz w:val="18"/>
      <w:szCs w:val="20"/>
      <w:lang w:eastAsia="en-US"/>
    </w:rPr>
  </w:style>
  <w:style w:type="paragraph" w:customStyle="1" w:styleId="458">
    <w:name w:val="font1"/>
    <w:basedOn w:val="1"/>
    <w:qFormat/>
    <w:uiPriority w:val="99"/>
    <w:pPr>
      <w:widowControl/>
      <w:spacing w:before="100" w:beforeAutospacing="1" w:after="100" w:afterAutospacing="1"/>
      <w:jc w:val="left"/>
    </w:pPr>
    <w:rPr>
      <w:rFonts w:hint="eastAsia" w:ascii="宋体" w:hAnsi="宋体"/>
      <w:kern w:val="0"/>
      <w:sz w:val="24"/>
    </w:rPr>
  </w:style>
  <w:style w:type="paragraph" w:customStyle="1" w:styleId="459">
    <w:name w:val="xl139"/>
    <w:basedOn w:val="1"/>
    <w:qFormat/>
    <w:uiPriority w:val="99"/>
    <w:pPr>
      <w:widowControl/>
      <w:pBdr>
        <w:left w:val="single" w:color="auto" w:sz="8" w:space="0"/>
        <w:bottom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460">
    <w:name w:val="CM52"/>
    <w:basedOn w:val="127"/>
    <w:next w:val="127"/>
    <w:qFormat/>
    <w:uiPriority w:val="0"/>
    <w:pPr>
      <w:spacing w:line="468" w:lineRule="atLeast"/>
    </w:pPr>
    <w:rPr>
      <w:rFonts w:ascii="宋体" w:hAnsi="Calibri" w:eastAsia="宋体" w:cs="Times New Roman"/>
      <w:color w:val="auto"/>
    </w:rPr>
  </w:style>
  <w:style w:type="paragraph" w:customStyle="1" w:styleId="461">
    <w:name w:val="样式 样式 样式 第五行 + 左侧:  -8 字符 段前: 2 行 + 左侧:  -6 字符 段前: 2 行 + 左侧:  -4..."/>
    <w:basedOn w:val="462"/>
    <w:qFormat/>
    <w:uiPriority w:val="0"/>
    <w:rPr>
      <w:szCs w:val="28"/>
    </w:rPr>
  </w:style>
  <w:style w:type="paragraph" w:customStyle="1" w:styleId="462">
    <w:name w:val="样式 样式 第五行 + 左侧:  -8 字符 段前: 2 行 + 左侧:  -6 字符 段前: 2 行"/>
    <w:basedOn w:val="463"/>
    <w:qFormat/>
    <w:uiPriority w:val="0"/>
    <w:pPr>
      <w:ind w:left="-400" w:leftChars="-400"/>
    </w:pPr>
  </w:style>
  <w:style w:type="paragraph" w:customStyle="1" w:styleId="463">
    <w:name w:val="样式 第五行 + 左侧:  -8 字符 段前: 2 行"/>
    <w:basedOn w:val="464"/>
    <w:qFormat/>
    <w:uiPriority w:val="0"/>
    <w:pPr>
      <w:ind w:left="-600" w:leftChars="-600"/>
    </w:pPr>
    <w:rPr>
      <w:szCs w:val="20"/>
    </w:rPr>
  </w:style>
  <w:style w:type="paragraph" w:customStyle="1" w:styleId="464">
    <w:name w:val="第五行"/>
    <w:basedOn w:val="369"/>
    <w:qFormat/>
    <w:uiPriority w:val="0"/>
    <w:pPr>
      <w:ind w:left="-800" w:leftChars="-800"/>
    </w:pPr>
  </w:style>
  <w:style w:type="paragraph" w:customStyle="1" w:styleId="465">
    <w:name w:val="CM67"/>
    <w:basedOn w:val="127"/>
    <w:next w:val="127"/>
    <w:qFormat/>
    <w:uiPriority w:val="0"/>
    <w:pPr>
      <w:spacing w:line="471" w:lineRule="atLeast"/>
    </w:pPr>
    <w:rPr>
      <w:rFonts w:ascii="宋体" w:hAnsi="Calibri" w:eastAsia="宋体" w:cs="Times New Roman"/>
      <w:color w:val="auto"/>
    </w:rPr>
  </w:style>
  <w:style w:type="paragraph" w:customStyle="1" w:styleId="466">
    <w:name w:val="CM85"/>
    <w:basedOn w:val="127"/>
    <w:next w:val="127"/>
    <w:qFormat/>
    <w:uiPriority w:val="0"/>
    <w:pPr>
      <w:spacing w:line="440" w:lineRule="atLeast"/>
    </w:pPr>
    <w:rPr>
      <w:rFonts w:ascii="宋体" w:hAnsi="Calibri" w:eastAsia="宋体" w:cs="Times New Roman"/>
      <w:color w:val="auto"/>
    </w:rPr>
  </w:style>
  <w:style w:type="paragraph" w:customStyle="1" w:styleId="467">
    <w:name w:val="2.7.1"/>
    <w:basedOn w:val="468"/>
    <w:qFormat/>
    <w:uiPriority w:val="0"/>
    <w:pPr>
      <w:numPr>
        <w:ilvl w:val="1"/>
        <w:numId w:val="5"/>
      </w:numPr>
      <w:tabs>
        <w:tab w:val="left" w:pos="1266"/>
        <w:tab w:val="left" w:pos="1418"/>
        <w:tab w:val="left" w:pos="1575"/>
        <w:tab w:val="left" w:pos="1753"/>
        <w:tab w:val="left" w:pos="2160"/>
      </w:tabs>
      <w:ind w:left="0" w:firstLine="200"/>
    </w:pPr>
  </w:style>
  <w:style w:type="paragraph" w:customStyle="1" w:styleId="468">
    <w:name w:val="2.5.1"/>
    <w:basedOn w:val="469"/>
    <w:qFormat/>
    <w:uiPriority w:val="0"/>
    <w:pPr>
      <w:numPr>
        <w:ilvl w:val="2"/>
        <w:numId w:val="4"/>
      </w:numPr>
      <w:tabs>
        <w:tab w:val="left" w:pos="1266"/>
        <w:tab w:val="left" w:pos="1575"/>
        <w:tab w:val="left" w:pos="1753"/>
        <w:tab w:val="left" w:pos="2160"/>
      </w:tabs>
      <w:ind w:left="0" w:firstLine="200" w:firstLineChars="200"/>
    </w:pPr>
  </w:style>
  <w:style w:type="paragraph" w:customStyle="1" w:styleId="469">
    <w:name w:val="自定义2.4.1"/>
    <w:basedOn w:val="410"/>
    <w:qFormat/>
    <w:uiPriority w:val="0"/>
    <w:pPr>
      <w:numPr>
        <w:ilvl w:val="1"/>
        <w:numId w:val="6"/>
      </w:numPr>
      <w:tabs>
        <w:tab w:val="left" w:pos="1266"/>
      </w:tabs>
      <w:ind w:left="0"/>
    </w:pPr>
  </w:style>
  <w:style w:type="paragraph" w:customStyle="1" w:styleId="470">
    <w:name w:val="默认段落字体 Para Char"/>
    <w:basedOn w:val="1"/>
    <w:qFormat/>
    <w:uiPriority w:val="0"/>
    <w:pPr>
      <w:ind w:left="420" w:firstLine="480"/>
    </w:pPr>
  </w:style>
  <w:style w:type="paragraph" w:customStyle="1" w:styleId="471">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472">
    <w:name w:val="xl111"/>
    <w:basedOn w:val="1"/>
    <w:qFormat/>
    <w:uiPriority w:val="99"/>
    <w:pPr>
      <w:widowControl/>
      <w:pBdr>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473">
    <w:name w:val="CM121"/>
    <w:basedOn w:val="127"/>
    <w:next w:val="127"/>
    <w:qFormat/>
    <w:uiPriority w:val="0"/>
    <w:rPr>
      <w:rFonts w:ascii="宋体" w:hAnsi="Calibri" w:eastAsia="宋体" w:cs="Times New Roman"/>
      <w:color w:val="auto"/>
    </w:rPr>
  </w:style>
  <w:style w:type="paragraph" w:customStyle="1" w:styleId="474">
    <w:name w:val="CM31"/>
    <w:basedOn w:val="127"/>
    <w:next w:val="127"/>
    <w:qFormat/>
    <w:uiPriority w:val="0"/>
    <w:rPr>
      <w:rFonts w:ascii="宋体" w:hAnsi="Calibri" w:eastAsia="宋体" w:cs="Times New Roman"/>
      <w:color w:val="auto"/>
    </w:rPr>
  </w:style>
  <w:style w:type="paragraph" w:customStyle="1" w:styleId="475">
    <w:name w:val="横表名"/>
    <w:basedOn w:val="1"/>
    <w:qFormat/>
    <w:uiPriority w:val="0"/>
    <w:pPr>
      <w:spacing w:beforeLines="50" w:line="360" w:lineRule="auto"/>
      <w:jc w:val="center"/>
    </w:pPr>
    <w:rPr>
      <w:rFonts w:ascii="宋体"/>
      <w:b/>
      <w:szCs w:val="21"/>
    </w:rPr>
  </w:style>
  <w:style w:type="paragraph" w:customStyle="1" w:styleId="476">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样式 宋体 小四 行距: 1.5 倍行距"/>
    <w:basedOn w:val="1"/>
    <w:qFormat/>
    <w:uiPriority w:val="0"/>
    <w:rPr>
      <w:rFonts w:ascii="宋体" w:hAnsi="宋体"/>
      <w:kern w:val="10"/>
      <w:sz w:val="24"/>
      <w:szCs w:val="20"/>
    </w:rPr>
  </w:style>
  <w:style w:type="paragraph" w:customStyle="1" w:styleId="478">
    <w:name w:val="样式 标题 3一1Heading 3 - oldH3level_3PIM 3Level 3 Headh33rd..."/>
    <w:basedOn w:val="4"/>
    <w:qFormat/>
    <w:uiPriority w:val="0"/>
    <w:pPr>
      <w:spacing w:before="260" w:after="260"/>
      <w:ind w:firstLine="0" w:firstLineChars="0"/>
      <w:jc w:val="both"/>
    </w:pPr>
    <w:rPr>
      <w:rFonts w:ascii="楷体_GB2312" w:hAnsi="宋体" w:eastAsia="楷体_GB2312" w:cs="宋体"/>
      <w:sz w:val="28"/>
      <w:szCs w:val="20"/>
    </w:rPr>
  </w:style>
  <w:style w:type="paragraph" w:customStyle="1" w:styleId="479">
    <w:name w:val="着重符文字"/>
    <w:basedOn w:val="1"/>
    <w:qFormat/>
    <w:uiPriority w:val="0"/>
    <w:pPr>
      <w:widowControl/>
      <w:tabs>
        <w:tab w:val="left" w:pos="1260"/>
        <w:tab w:val="left" w:pos="1691"/>
      </w:tabs>
      <w:adjustRightInd w:val="0"/>
      <w:spacing w:after="200" w:line="300" w:lineRule="auto"/>
      <w:jc w:val="left"/>
      <w:textAlignment w:val="baseline"/>
    </w:pPr>
    <w:rPr>
      <w:rFonts w:ascii="宋体" w:hAnsi="宋体"/>
      <w:kern w:val="24"/>
      <w:sz w:val="28"/>
      <w:szCs w:val="20"/>
      <w:lang w:eastAsia="en-US"/>
    </w:rPr>
  </w:style>
  <w:style w:type="paragraph" w:customStyle="1" w:styleId="480">
    <w:name w:val="条款"/>
    <w:basedOn w:val="31"/>
    <w:qFormat/>
    <w:uiPriority w:val="0"/>
    <w:pPr>
      <w:autoSpaceDE/>
      <w:autoSpaceDN/>
      <w:adjustRightInd/>
      <w:jc w:val="both"/>
    </w:pPr>
    <w:rPr>
      <w:kern w:val="2"/>
      <w:sz w:val="21"/>
    </w:rPr>
  </w:style>
  <w:style w:type="paragraph" w:customStyle="1" w:styleId="481">
    <w:name w:val="font0"/>
    <w:basedOn w:val="1"/>
    <w:qFormat/>
    <w:uiPriority w:val="99"/>
    <w:pPr>
      <w:widowControl/>
      <w:spacing w:before="100" w:beforeAutospacing="1" w:after="100" w:afterAutospacing="1"/>
      <w:jc w:val="left"/>
    </w:pPr>
    <w:rPr>
      <w:rFonts w:hint="eastAsia" w:ascii="宋体" w:hAnsi="宋体"/>
      <w:kern w:val="0"/>
      <w:sz w:val="28"/>
      <w:szCs w:val="28"/>
    </w:rPr>
  </w:style>
  <w:style w:type="paragraph" w:customStyle="1" w:styleId="482">
    <w:name w:val="应答文本 Char Char Char Char"/>
    <w:basedOn w:val="1"/>
    <w:qFormat/>
    <w:uiPriority w:val="0"/>
    <w:pPr>
      <w:adjustRightInd w:val="0"/>
      <w:spacing w:afterLines="50" w:line="320" w:lineRule="exact"/>
      <w:ind w:left="300" w:leftChars="300" w:firstLine="200" w:firstLineChars="200"/>
      <w:jc w:val="left"/>
    </w:pPr>
    <w:rPr>
      <w:rFonts w:ascii="Arial" w:hAnsi="Arial" w:eastAsia="楷体_GB2312"/>
      <w:spacing w:val="10"/>
      <w:kern w:val="0"/>
      <w:szCs w:val="20"/>
    </w:rPr>
  </w:style>
  <w:style w:type="paragraph" w:customStyle="1" w:styleId="483">
    <w:name w:val="_Style 28"/>
    <w:basedOn w:val="1"/>
    <w:next w:val="23"/>
    <w:qFormat/>
    <w:uiPriority w:val="0"/>
    <w:pPr>
      <w:jc w:val="center"/>
    </w:pPr>
    <w:rPr>
      <w:b/>
      <w:bCs/>
      <w:sz w:val="48"/>
    </w:rPr>
  </w:style>
  <w:style w:type="paragraph" w:customStyle="1" w:styleId="484">
    <w:name w:val="Char Char Char"/>
    <w:basedOn w:val="1"/>
    <w:qFormat/>
    <w:uiPriority w:val="0"/>
    <w:pPr>
      <w:spacing w:line="360" w:lineRule="auto"/>
      <w:ind w:firstLine="200" w:firstLineChars="200"/>
    </w:pPr>
    <w:rPr>
      <w:rFonts w:ascii="宋体" w:hAnsi="宋体" w:cs="宋体"/>
      <w:sz w:val="24"/>
    </w:rPr>
  </w:style>
  <w:style w:type="paragraph" w:customStyle="1" w:styleId="485">
    <w:name w:val="Char Char Char Char1"/>
    <w:basedOn w:val="1"/>
    <w:qFormat/>
    <w:uiPriority w:val="0"/>
    <w:rPr>
      <w:rFonts w:ascii="Tahoma" w:hAnsi="Tahoma"/>
      <w:sz w:val="24"/>
      <w:szCs w:val="20"/>
    </w:rPr>
  </w:style>
  <w:style w:type="paragraph" w:customStyle="1" w:styleId="486">
    <w:name w:val="Normal2"/>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487">
    <w:name w:val="Char Char Char1"/>
    <w:basedOn w:val="1"/>
    <w:qFormat/>
    <w:uiPriority w:val="99"/>
    <w:pPr>
      <w:spacing w:line="360" w:lineRule="auto"/>
      <w:ind w:firstLine="200" w:firstLineChars="200"/>
    </w:pPr>
    <w:rPr>
      <w:rFonts w:ascii="宋体" w:hAnsi="宋体" w:cs="宋体"/>
      <w:sz w:val="24"/>
    </w:rPr>
  </w:style>
  <w:style w:type="paragraph" w:customStyle="1" w:styleId="488">
    <w:name w:val="xl101"/>
    <w:basedOn w:val="1"/>
    <w:qFormat/>
    <w:uiPriority w:val="99"/>
    <w:pPr>
      <w:widowControl/>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489">
    <w:name w:val="xl112"/>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490">
    <w:name w:val="样式 标题 1标题 1 1 + (符号) 宋体 小四 段前: 0 磅 段后: 0 磅 行距: 单倍行距"/>
    <w:basedOn w:val="2"/>
    <w:qFormat/>
    <w:uiPriority w:val="0"/>
    <w:pPr>
      <w:keepNext w:val="0"/>
      <w:keepLines/>
      <w:autoSpaceDE/>
      <w:autoSpaceDN/>
      <w:adjustRightInd/>
      <w:snapToGrid w:val="0"/>
      <w:spacing w:beforeLines="50" w:afterLines="50"/>
      <w:jc w:val="both"/>
    </w:pPr>
    <w:rPr>
      <w:rFonts w:ascii="宋体" w:hAnsi="宋体" w:eastAsia="宋体"/>
      <w:color w:val="auto"/>
      <w:kern w:val="44"/>
      <w:sz w:val="24"/>
    </w:rPr>
  </w:style>
  <w:style w:type="paragraph" w:customStyle="1" w:styleId="491">
    <w:name w:val="默认段落字体 Para Char Char Char Char Char Char Char Char Char1 Char Char Char Char"/>
    <w:basedOn w:val="1"/>
    <w:qFormat/>
    <w:uiPriority w:val="0"/>
    <w:pPr>
      <w:widowControl/>
      <w:adjustRightInd w:val="0"/>
      <w:spacing w:after="200" w:line="312" w:lineRule="atLeast"/>
      <w:jc w:val="left"/>
      <w:textAlignment w:val="baseline"/>
    </w:pPr>
    <w:rPr>
      <w:rFonts w:ascii="Calibri" w:hAnsi="Calibri"/>
      <w:b/>
      <w:bCs/>
      <w:kern w:val="0"/>
      <w:sz w:val="36"/>
      <w:szCs w:val="32"/>
      <w:lang w:eastAsia="en-US"/>
    </w:rPr>
  </w:style>
  <w:style w:type="paragraph" w:customStyle="1" w:styleId="492">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493">
    <w:name w:val="Char12"/>
    <w:basedOn w:val="1"/>
    <w:qFormat/>
    <w:uiPriority w:val="0"/>
  </w:style>
  <w:style w:type="paragraph" w:customStyle="1" w:styleId="494">
    <w:name w:val="Char Char Char3"/>
    <w:basedOn w:val="1"/>
    <w:qFormat/>
    <w:uiPriority w:val="0"/>
    <w:pPr>
      <w:ind w:left="432" w:hanging="432"/>
    </w:pPr>
    <w:rPr>
      <w:sz w:val="24"/>
    </w:rPr>
  </w:style>
  <w:style w:type="paragraph" w:customStyle="1" w:styleId="495">
    <w:name w:val="样式1"/>
    <w:basedOn w:val="1"/>
    <w:next w:val="5"/>
    <w:qFormat/>
    <w:uiPriority w:val="0"/>
    <w:pPr>
      <w:widowControl/>
      <w:spacing w:line="360" w:lineRule="auto"/>
      <w:ind w:firstLine="420" w:firstLineChars="200"/>
      <w:jc w:val="left"/>
    </w:pPr>
    <w:rPr>
      <w:rFonts w:ascii="宋体" w:hAnsi="宋体" w:eastAsia="仿宋_GB2312"/>
      <w:kern w:val="0"/>
      <w:szCs w:val="21"/>
      <w:lang w:bidi="en-US"/>
    </w:rPr>
  </w:style>
  <w:style w:type="paragraph" w:customStyle="1" w:styleId="496">
    <w:name w:val="xl110"/>
    <w:basedOn w:val="1"/>
    <w:qFormat/>
    <w:uiPriority w:val="99"/>
    <w:pPr>
      <w:widowControl/>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497">
    <w:name w:val="xl92"/>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498">
    <w:name w:val="Char2"/>
    <w:basedOn w:val="1"/>
    <w:qFormat/>
    <w:uiPriority w:val="0"/>
    <w:pPr>
      <w:ind w:left="432" w:hanging="432"/>
    </w:pPr>
    <w:rPr>
      <w:sz w:val="24"/>
    </w:rPr>
  </w:style>
  <w:style w:type="paragraph" w:customStyle="1" w:styleId="499">
    <w:name w:val="菲页(卷)"/>
    <w:basedOn w:val="2"/>
    <w:next w:val="500"/>
    <w:qFormat/>
    <w:uiPriority w:val="0"/>
    <w:pPr>
      <w:widowControl/>
      <w:numPr>
        <w:ilvl w:val="0"/>
        <w:numId w:val="7"/>
      </w:numPr>
      <w:tabs>
        <w:tab w:val="left" w:pos="840"/>
      </w:tabs>
      <w:autoSpaceDE/>
      <w:autoSpaceDN/>
      <w:adjustRightInd/>
      <w:jc w:val="center"/>
      <w:outlineLvl w:val="1"/>
    </w:pPr>
    <w:rPr>
      <w:rFonts w:ascii="黑体" w:eastAsia="黑体"/>
      <w:b w:val="0"/>
      <w:bCs w:val="0"/>
      <w:color w:val="auto"/>
      <w:kern w:val="2"/>
      <w:sz w:val="52"/>
      <w:szCs w:val="24"/>
    </w:rPr>
  </w:style>
  <w:style w:type="paragraph" w:customStyle="1" w:styleId="500">
    <w:name w:val="正文4"/>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501">
    <w:name w:val="CM24"/>
    <w:basedOn w:val="127"/>
    <w:next w:val="127"/>
    <w:qFormat/>
    <w:uiPriority w:val="0"/>
    <w:pPr>
      <w:spacing w:line="400" w:lineRule="atLeast"/>
    </w:pPr>
    <w:rPr>
      <w:rFonts w:ascii="宋体" w:hAnsi="Calibri" w:eastAsia="宋体" w:cs="Times New Roman"/>
      <w:color w:val="auto"/>
    </w:rPr>
  </w:style>
  <w:style w:type="paragraph" w:customStyle="1" w:styleId="502">
    <w:name w:val="图标目录"/>
    <w:basedOn w:val="1"/>
    <w:next w:val="1"/>
    <w:qFormat/>
    <w:uiPriority w:val="99"/>
    <w:pPr>
      <w:ind w:left="420" w:hanging="420"/>
      <w:jc w:val="center"/>
    </w:pPr>
    <w:rPr>
      <w:smallCaps/>
      <w:sz w:val="20"/>
      <w:szCs w:val="20"/>
    </w:rPr>
  </w:style>
  <w:style w:type="paragraph" w:customStyle="1" w:styleId="503">
    <w:name w:val="xl118"/>
    <w:basedOn w:val="1"/>
    <w:qFormat/>
    <w:uiPriority w:val="99"/>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04">
    <w:name w:val="xl102"/>
    <w:basedOn w:val="1"/>
    <w:qFormat/>
    <w:uiPriority w:val="99"/>
    <w:pPr>
      <w:widowControl/>
      <w:pBdr>
        <w:right w:val="single" w:color="auto" w:sz="4"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505">
    <w:name w:val="正文编号_2"/>
    <w:basedOn w:val="1"/>
    <w:qFormat/>
    <w:uiPriority w:val="0"/>
    <w:pPr>
      <w:keepNext/>
      <w:widowControl/>
      <w:tabs>
        <w:tab w:val="left" w:pos="1109"/>
      </w:tabs>
      <w:adjustRightInd w:val="0"/>
      <w:snapToGrid w:val="0"/>
      <w:spacing w:after="200" w:line="300" w:lineRule="auto"/>
      <w:ind w:left="1109" w:hanging="360"/>
      <w:jc w:val="left"/>
      <w:textAlignment w:val="baseline"/>
    </w:pPr>
    <w:rPr>
      <w:rFonts w:ascii="宋体" w:hAnsi="宋体"/>
      <w:kern w:val="24"/>
      <w:sz w:val="22"/>
      <w:szCs w:val="20"/>
      <w:lang w:eastAsia="en-US"/>
    </w:rPr>
  </w:style>
  <w:style w:type="paragraph" w:customStyle="1" w:styleId="506">
    <w:name w:val="Char Char Char1 Char Char Char Char Char Char Char Char Char Char Char Char Char"/>
    <w:basedOn w:val="1"/>
    <w:qFormat/>
    <w:uiPriority w:val="0"/>
    <w:pPr>
      <w:adjustRightInd w:val="0"/>
      <w:spacing w:line="312" w:lineRule="atLeast"/>
      <w:textAlignment w:val="baseline"/>
    </w:pPr>
    <w:rPr>
      <w:b/>
      <w:bCs/>
      <w:kern w:val="0"/>
      <w:sz w:val="36"/>
      <w:szCs w:val="32"/>
    </w:rPr>
  </w:style>
  <w:style w:type="paragraph" w:customStyle="1" w:styleId="507">
    <w:name w:val="正文1"/>
    <w:next w:val="1"/>
    <w:qFormat/>
    <w:uiPriority w:val="0"/>
    <w:pPr>
      <w:widowControl w:val="0"/>
      <w:topLinePunct/>
      <w:adjustRightInd w:val="0"/>
      <w:spacing w:line="240" w:lineRule="atLeast"/>
      <w:textAlignment w:val="baseline"/>
    </w:pPr>
    <w:rPr>
      <w:rFonts w:ascii="Times New Roman" w:hAnsi="Times New Roman" w:eastAsia="宋体" w:cs="Times New Roman"/>
      <w:sz w:val="24"/>
      <w:lang w:val="en-US" w:eastAsia="zh-CN" w:bidi="ar-SA"/>
    </w:rPr>
  </w:style>
  <w:style w:type="paragraph" w:customStyle="1" w:styleId="508">
    <w:name w:val="招标文件1）"/>
    <w:qFormat/>
    <w:uiPriority w:val="0"/>
    <w:pPr>
      <w:numPr>
        <w:ilvl w:val="5"/>
        <w:numId w:val="1"/>
      </w:numPr>
      <w:spacing w:before="120" w:after="120" w:line="300" w:lineRule="auto"/>
      <w:ind w:firstLine="0"/>
      <w:outlineLvl w:val="5"/>
    </w:pPr>
    <w:rPr>
      <w:rFonts w:ascii="宋体" w:hAnsi="Times New Roman" w:eastAsia="宋体" w:cs="Times New Roman"/>
      <w:spacing w:val="10"/>
      <w:w w:val="95"/>
      <w:sz w:val="21"/>
      <w:lang w:val="en-US" w:eastAsia="zh-CN" w:bidi="ar-SA"/>
    </w:rPr>
  </w:style>
  <w:style w:type="paragraph" w:customStyle="1" w:styleId="509">
    <w:name w:val="Char Char Char Char"/>
    <w:basedOn w:val="1"/>
    <w:qFormat/>
    <w:uiPriority w:val="0"/>
    <w:rPr>
      <w:kern w:val="0"/>
    </w:rPr>
  </w:style>
  <w:style w:type="paragraph" w:customStyle="1" w:styleId="510">
    <w:name w:val="正文文本 23"/>
    <w:basedOn w:val="1"/>
    <w:qFormat/>
    <w:uiPriority w:val="99"/>
    <w:pPr>
      <w:spacing w:after="120" w:line="480" w:lineRule="auto"/>
    </w:pPr>
    <w:rPr>
      <w:kern w:val="0"/>
      <w:sz w:val="20"/>
    </w:rPr>
  </w:style>
  <w:style w:type="paragraph" w:customStyle="1" w:styleId="511">
    <w:name w:val="叙述文字"/>
    <w:basedOn w:val="1"/>
    <w:qFormat/>
    <w:uiPriority w:val="0"/>
    <w:pPr>
      <w:spacing w:line="360" w:lineRule="auto"/>
      <w:ind w:firstLine="480" w:firstLineChars="200"/>
    </w:pPr>
    <w:rPr>
      <w:sz w:val="24"/>
      <w:szCs w:val="20"/>
    </w:rPr>
  </w:style>
  <w:style w:type="paragraph" w:customStyle="1" w:styleId="512">
    <w:name w:val="xl136"/>
    <w:basedOn w:val="1"/>
    <w:qFormat/>
    <w:uiPriority w:val="99"/>
    <w:pPr>
      <w:widowControl/>
      <w:pBdr>
        <w:top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513">
    <w:name w:val="表文"/>
    <w:basedOn w:val="1"/>
    <w:qFormat/>
    <w:uiPriority w:val="0"/>
    <w:pPr>
      <w:widowControl/>
      <w:adjustRightInd w:val="0"/>
      <w:snapToGrid w:val="0"/>
      <w:spacing w:after="200" w:line="280" w:lineRule="atLeast"/>
      <w:jc w:val="left"/>
      <w:textAlignment w:val="baseline"/>
    </w:pPr>
    <w:rPr>
      <w:rFonts w:ascii="Calibri" w:hAnsi="Calibri"/>
      <w:kern w:val="0"/>
      <w:sz w:val="18"/>
      <w:szCs w:val="20"/>
      <w:lang w:eastAsia="en-US"/>
    </w:rPr>
  </w:style>
  <w:style w:type="paragraph" w:customStyle="1" w:styleId="514">
    <w:name w:val="straightmatter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515">
    <w:name w:val="ST20_2"/>
    <w:basedOn w:val="1"/>
    <w:qFormat/>
    <w:uiPriority w:val="0"/>
    <w:pPr>
      <w:widowControl/>
      <w:autoSpaceDE w:val="0"/>
      <w:autoSpaceDN w:val="0"/>
      <w:adjustRightInd w:val="0"/>
      <w:spacing w:after="200" w:line="276" w:lineRule="auto"/>
      <w:ind w:left="840" w:hanging="420"/>
      <w:jc w:val="left"/>
    </w:pPr>
    <w:rPr>
      <w:rFonts w:ascii="宋体" w:hAnsi="Tms Rmn"/>
      <w:kern w:val="0"/>
      <w:sz w:val="24"/>
      <w:szCs w:val="20"/>
      <w:lang w:eastAsia="en-US"/>
    </w:rPr>
  </w:style>
  <w:style w:type="paragraph" w:customStyle="1" w:styleId="516">
    <w:name w:val="文档正文 Char"/>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17">
    <w:name w:val="列表框1"/>
    <w:basedOn w:val="482"/>
    <w:next w:val="482"/>
    <w:qFormat/>
    <w:uiPriority w:val="0"/>
    <w:pPr>
      <w:tabs>
        <w:tab w:val="left" w:pos="2018"/>
        <w:tab w:val="left" w:pos="2086"/>
        <w:tab w:val="left" w:pos="2325"/>
      </w:tabs>
      <w:snapToGrid w:val="0"/>
      <w:ind w:left="2031" w:leftChars="665" w:hanging="435" w:hangingChars="189"/>
    </w:pPr>
    <w:rPr>
      <w:rFonts w:cs="Arial"/>
    </w:rPr>
  </w:style>
  <w:style w:type="paragraph" w:customStyle="1" w:styleId="518">
    <w:name w:val="CM60"/>
    <w:basedOn w:val="127"/>
    <w:next w:val="127"/>
    <w:qFormat/>
    <w:uiPriority w:val="99"/>
    <w:pPr>
      <w:spacing w:line="466" w:lineRule="atLeast"/>
    </w:pPr>
    <w:rPr>
      <w:rFonts w:ascii="黑体" w:hAnsi="Calibri" w:eastAsia="黑体" w:cs="Times New Roman"/>
      <w:color w:val="auto"/>
    </w:rPr>
  </w:style>
  <w:style w:type="paragraph" w:customStyle="1" w:styleId="519">
    <w:name w:val="xl74"/>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520">
    <w:name w:val="正文2"/>
    <w:basedOn w:val="507"/>
    <w:qFormat/>
    <w:uiPriority w:val="0"/>
    <w:pPr>
      <w:widowControl/>
      <w:topLinePunct w:val="0"/>
      <w:spacing w:after="200" w:line="400" w:lineRule="atLeast"/>
      <w:ind w:firstLine="1418"/>
    </w:pPr>
    <w:rPr>
      <w:rFonts w:ascii="宋体" w:hAnsi="Calibri"/>
      <w:lang w:eastAsia="en-US"/>
    </w:rPr>
  </w:style>
  <w:style w:type="paragraph" w:customStyle="1" w:styleId="521">
    <w:name w:val="xl119"/>
    <w:basedOn w:val="1"/>
    <w:qFormat/>
    <w:uiPriority w:val="99"/>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22">
    <w:name w:val="xl115"/>
    <w:basedOn w:val="1"/>
    <w:qFormat/>
    <w:uiPriority w:val="99"/>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23">
    <w:name w:val="CM47"/>
    <w:basedOn w:val="127"/>
    <w:next w:val="127"/>
    <w:qFormat/>
    <w:uiPriority w:val="0"/>
    <w:pPr>
      <w:spacing w:line="400" w:lineRule="atLeast"/>
    </w:pPr>
    <w:rPr>
      <w:rFonts w:ascii="宋体" w:hAnsi="Calibri" w:eastAsia="宋体" w:cs="Times New Roman"/>
      <w:color w:val="auto"/>
    </w:rPr>
  </w:style>
  <w:style w:type="paragraph" w:customStyle="1" w:styleId="524">
    <w:name w:val="样式 表格内容 + 居中"/>
    <w:basedOn w:val="456"/>
    <w:qFormat/>
    <w:uiPriority w:val="0"/>
    <w:rPr>
      <w:rFonts w:cs="宋体"/>
    </w:rPr>
  </w:style>
  <w:style w:type="paragraph" w:customStyle="1" w:styleId="525">
    <w:name w:val="封面标题3"/>
    <w:basedOn w:val="526"/>
    <w:qFormat/>
    <w:uiPriority w:val="0"/>
  </w:style>
  <w:style w:type="paragraph" w:customStyle="1" w:styleId="526">
    <w:name w:val="封面标题2"/>
    <w:basedOn w:val="1"/>
    <w:qFormat/>
    <w:uiPriority w:val="0"/>
    <w:pPr>
      <w:widowControl/>
      <w:spacing w:after="200" w:line="276" w:lineRule="auto"/>
      <w:jc w:val="center"/>
    </w:pPr>
    <w:rPr>
      <w:rFonts w:ascii="Arial" w:hAnsi="Arial" w:cs="Arial"/>
      <w:kern w:val="0"/>
      <w:sz w:val="36"/>
      <w:szCs w:val="20"/>
      <w:lang w:eastAsia="en-US"/>
    </w:rPr>
  </w:style>
  <w:style w:type="paragraph" w:customStyle="1" w:styleId="527">
    <w:name w:val="表格文本"/>
    <w:basedOn w:val="1"/>
    <w:qFormat/>
    <w:uiPriority w:val="0"/>
    <w:pPr>
      <w:spacing w:line="360" w:lineRule="auto"/>
      <w:jc w:val="center"/>
    </w:pPr>
    <w:rPr>
      <w:rFonts w:ascii="Arial" w:hAnsi="Arial" w:cs="Arial"/>
      <w:snapToGrid w:val="0"/>
      <w:color w:val="000000"/>
      <w:kern w:val="0"/>
      <w:szCs w:val="20"/>
    </w:rPr>
  </w:style>
  <w:style w:type="paragraph" w:customStyle="1" w:styleId="528">
    <w:name w:val="正文编号_1"/>
    <w:basedOn w:val="23"/>
    <w:qFormat/>
    <w:uiPriority w:val="0"/>
    <w:pPr>
      <w:widowControl/>
      <w:jc w:val="left"/>
    </w:pPr>
    <w:rPr>
      <w:sz w:val="21"/>
    </w:rPr>
  </w:style>
  <w:style w:type="paragraph" w:customStyle="1" w:styleId="529">
    <w:name w:val="Char1 Char Char Char"/>
    <w:basedOn w:val="1"/>
    <w:qFormat/>
    <w:uiPriority w:val="0"/>
    <w:pPr>
      <w:widowControl/>
      <w:spacing w:after="200" w:line="276" w:lineRule="auto"/>
      <w:jc w:val="left"/>
    </w:pPr>
    <w:rPr>
      <w:rFonts w:ascii="Tahoma" w:hAnsi="Tahoma"/>
      <w:kern w:val="0"/>
      <w:sz w:val="24"/>
      <w:szCs w:val="20"/>
      <w:lang w:eastAsia="en-US"/>
    </w:rPr>
  </w:style>
  <w:style w:type="paragraph" w:customStyle="1" w:styleId="530">
    <w:name w:val="v15"/>
    <w:basedOn w:val="1"/>
    <w:qFormat/>
    <w:uiPriority w:val="0"/>
    <w:pPr>
      <w:widowControl/>
      <w:spacing w:before="100" w:beforeAutospacing="1" w:after="100" w:afterAutospacing="1" w:line="280" w:lineRule="atLeast"/>
      <w:jc w:val="left"/>
    </w:pPr>
    <w:rPr>
      <w:rFonts w:hint="eastAsia" w:ascii="宋体" w:hAnsi="宋体"/>
      <w:color w:val="000000"/>
      <w:kern w:val="0"/>
      <w:sz w:val="18"/>
      <w:szCs w:val="18"/>
      <w:lang w:eastAsia="en-US"/>
    </w:rPr>
  </w:style>
  <w:style w:type="paragraph" w:customStyle="1" w:styleId="531">
    <w:name w:val="编号正文_1"/>
    <w:basedOn w:val="23"/>
    <w:qFormat/>
    <w:uiPriority w:val="0"/>
    <w:pPr>
      <w:widowControl/>
      <w:jc w:val="left"/>
    </w:pPr>
    <w:rPr>
      <w:sz w:val="21"/>
    </w:rPr>
  </w:style>
  <w:style w:type="paragraph" w:customStyle="1" w:styleId="532">
    <w:name w:val="样式 样式 第六行 + 左侧:  -2 字符 段前: 2 行 + 左侧:  -10 字符 段前: 2 行"/>
    <w:basedOn w:val="533"/>
    <w:qFormat/>
    <w:uiPriority w:val="0"/>
    <w:pPr>
      <w:ind w:left="-1100" w:leftChars="-1100"/>
    </w:pPr>
    <w:rPr>
      <w:szCs w:val="28"/>
    </w:rPr>
  </w:style>
  <w:style w:type="paragraph" w:customStyle="1" w:styleId="533">
    <w:name w:val="样式 第六行 + 左侧:  -2 字符 段前: 2 行"/>
    <w:basedOn w:val="534"/>
    <w:qFormat/>
    <w:uiPriority w:val="0"/>
    <w:pPr>
      <w:ind w:left="-1000" w:leftChars="-1000"/>
    </w:pPr>
    <w:rPr>
      <w:szCs w:val="20"/>
    </w:rPr>
  </w:style>
  <w:style w:type="paragraph" w:customStyle="1" w:styleId="534">
    <w:name w:val="第六行"/>
    <w:basedOn w:val="461"/>
    <w:qFormat/>
    <w:uiPriority w:val="0"/>
    <w:pPr>
      <w:ind w:left="-200" w:leftChars="-200"/>
    </w:pPr>
  </w:style>
  <w:style w:type="paragraph" w:customStyle="1" w:styleId="535">
    <w:name w:val="Char1 Char Char Char Char Char Char2"/>
    <w:basedOn w:val="1"/>
    <w:qFormat/>
    <w:uiPriority w:val="0"/>
    <w:rPr>
      <w:rFonts w:ascii="Tahoma" w:hAnsi="Tahoma"/>
      <w:sz w:val="24"/>
      <w:szCs w:val="20"/>
    </w:rPr>
  </w:style>
  <w:style w:type="paragraph" w:customStyle="1" w:styleId="536">
    <w:name w:val="_Style 6"/>
    <w:basedOn w:val="1"/>
    <w:qFormat/>
    <w:uiPriority w:val="0"/>
    <w:pPr>
      <w:widowControl/>
      <w:spacing w:after="160" w:line="240" w:lineRule="exact"/>
      <w:jc w:val="left"/>
    </w:pPr>
    <w:rPr>
      <w:szCs w:val="20"/>
    </w:rPr>
  </w:style>
  <w:style w:type="paragraph" w:customStyle="1" w:styleId="537">
    <w:name w:val="样式1-正文-缩进"/>
    <w:basedOn w:val="1"/>
    <w:qFormat/>
    <w:uiPriority w:val="0"/>
    <w:pPr>
      <w:spacing w:line="360" w:lineRule="auto"/>
      <w:ind w:firstLine="480" w:firstLineChars="200"/>
    </w:pPr>
    <w:rPr>
      <w:sz w:val="24"/>
    </w:rPr>
  </w:style>
  <w:style w:type="paragraph" w:customStyle="1" w:styleId="538">
    <w:name w:val="封面标题1"/>
    <w:basedOn w:val="1"/>
    <w:qFormat/>
    <w:uiPriority w:val="0"/>
    <w:pPr>
      <w:widowControl/>
      <w:spacing w:after="200" w:line="276" w:lineRule="auto"/>
      <w:jc w:val="center"/>
    </w:pPr>
    <w:rPr>
      <w:rFonts w:ascii="Arial" w:hAnsi="Arial" w:eastAsia="黑体" w:cs="Arial"/>
      <w:bCs/>
      <w:kern w:val="0"/>
      <w:sz w:val="48"/>
      <w:szCs w:val="20"/>
      <w:lang w:eastAsia="en-US"/>
    </w:rPr>
  </w:style>
  <w:style w:type="paragraph" w:customStyle="1" w:styleId="539">
    <w:name w:val="样式4"/>
    <w:basedOn w:val="1"/>
    <w:qFormat/>
    <w:uiPriority w:val="0"/>
    <w:pPr>
      <w:keepNext/>
      <w:keepLines/>
      <w:widowControl/>
      <w:tabs>
        <w:tab w:val="left" w:pos="1260"/>
      </w:tabs>
      <w:spacing w:before="260" w:after="260" w:line="360" w:lineRule="auto"/>
      <w:ind w:left="1260" w:hanging="420"/>
      <w:jc w:val="left"/>
      <w:outlineLvl w:val="2"/>
    </w:pPr>
    <w:rPr>
      <w:rFonts w:ascii="宋体" w:hAnsi="宋体"/>
      <w:b/>
      <w:bCs/>
      <w:kern w:val="0"/>
      <w:sz w:val="28"/>
      <w:szCs w:val="20"/>
      <w:lang w:eastAsia="en-US"/>
    </w:rPr>
  </w:style>
  <w:style w:type="paragraph" w:customStyle="1" w:styleId="540">
    <w:name w:val="编号正文"/>
    <w:basedOn w:val="23"/>
    <w:qFormat/>
    <w:uiPriority w:val="0"/>
    <w:pPr>
      <w:widowControl/>
      <w:numPr>
        <w:ilvl w:val="1"/>
        <w:numId w:val="8"/>
      </w:numPr>
      <w:ind w:left="0" w:firstLine="0"/>
      <w:jc w:val="left"/>
    </w:pPr>
    <w:rPr>
      <w:sz w:val="21"/>
    </w:rPr>
  </w:style>
  <w:style w:type="paragraph" w:customStyle="1" w:styleId="541">
    <w:name w:val="字元 字元"/>
    <w:basedOn w:val="1"/>
    <w:qFormat/>
    <w:uiPriority w:val="0"/>
    <w:pPr>
      <w:spacing w:line="360" w:lineRule="auto"/>
      <w:ind w:firstLine="200" w:firstLineChars="200"/>
    </w:pPr>
    <w:rPr>
      <w:rFonts w:ascii="宋体" w:hAnsi="宋体" w:cs="宋体"/>
      <w:sz w:val="24"/>
    </w:rPr>
  </w:style>
  <w:style w:type="paragraph" w:customStyle="1" w:styleId="542">
    <w:name w:val="Char Char3 Char Char"/>
    <w:basedOn w:val="18"/>
    <w:qFormat/>
    <w:uiPriority w:val="0"/>
    <w:rPr>
      <w:rFonts w:ascii="Tahoma" w:hAnsi="Tahoma"/>
      <w:kern w:val="2"/>
      <w:shd w:val="clear" w:color="auto" w:fill="auto"/>
    </w:rPr>
  </w:style>
  <w:style w:type="paragraph" w:customStyle="1" w:styleId="543">
    <w:name w:val="招标文件1.1.1.1"/>
    <w:basedOn w:val="1"/>
    <w:qFormat/>
    <w:uiPriority w:val="0"/>
    <w:pPr>
      <w:spacing w:before="120" w:after="120" w:line="480" w:lineRule="exact"/>
      <w:jc w:val="left"/>
      <w:outlineLvl w:val="4"/>
    </w:pPr>
    <w:rPr>
      <w:rFonts w:ascii="宋体"/>
      <w:b/>
      <w:spacing w:val="10"/>
      <w:w w:val="95"/>
    </w:rPr>
  </w:style>
  <w:style w:type="paragraph" w:customStyle="1" w:styleId="544">
    <w:name w:val="Char1 Char Char Char Char Char Char"/>
    <w:basedOn w:val="1"/>
    <w:qFormat/>
    <w:uiPriority w:val="0"/>
    <w:pPr>
      <w:widowControl/>
      <w:spacing w:after="200" w:line="276" w:lineRule="auto"/>
      <w:jc w:val="left"/>
    </w:pPr>
    <w:rPr>
      <w:rFonts w:ascii="Tahoma" w:hAnsi="Tahoma"/>
      <w:kern w:val="0"/>
      <w:sz w:val="24"/>
      <w:szCs w:val="20"/>
      <w:lang w:eastAsia="en-US"/>
    </w:rPr>
  </w:style>
  <w:style w:type="paragraph" w:customStyle="1" w:styleId="545">
    <w:name w:val="straightmat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 Char20"/>
    <w:basedOn w:val="1"/>
    <w:qFormat/>
    <w:uiPriority w:val="0"/>
    <w:pPr>
      <w:widowControl/>
      <w:spacing w:after="160" w:line="240" w:lineRule="exact"/>
      <w:jc w:val="left"/>
    </w:pPr>
    <w:rPr>
      <w:rFonts w:ascii="Verdana" w:hAnsi="Verdana"/>
      <w:kern w:val="0"/>
      <w:sz w:val="20"/>
      <w:szCs w:val="20"/>
      <w:lang w:eastAsia="en-US"/>
    </w:rPr>
  </w:style>
  <w:style w:type="paragraph" w:customStyle="1" w:styleId="547">
    <w:name w:val="样式 宋体 小四 红色 行距: 1.5 倍行距"/>
    <w:basedOn w:val="1"/>
    <w:qFormat/>
    <w:uiPriority w:val="0"/>
    <w:pPr>
      <w:numPr>
        <w:ilvl w:val="0"/>
        <w:numId w:val="9"/>
      </w:numPr>
      <w:tabs>
        <w:tab w:val="left" w:pos="1865"/>
      </w:tabs>
      <w:spacing w:line="360" w:lineRule="auto"/>
    </w:pPr>
    <w:rPr>
      <w:rFonts w:ascii="宋体" w:hAnsi="宋体" w:cs="宋体"/>
      <w:color w:val="FF0000"/>
      <w:sz w:val="24"/>
      <w:szCs w:val="20"/>
    </w:rPr>
  </w:style>
  <w:style w:type="paragraph" w:customStyle="1" w:styleId="548">
    <w:name w:val="xl66"/>
    <w:basedOn w:val="1"/>
    <w:qFormat/>
    <w:uiPriority w:val="99"/>
    <w:pPr>
      <w:widowControl/>
      <w:pBdr>
        <w:top w:val="single" w:color="auto" w:sz="4" w:space="0"/>
        <w:bottom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549">
    <w:name w:val="xl7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51">
    <w:name w:val="xl134"/>
    <w:basedOn w:val="1"/>
    <w:qFormat/>
    <w:uiPriority w:val="99"/>
    <w:pPr>
      <w:widowControl/>
      <w:pBdr>
        <w:top w:val="single" w:color="auto" w:sz="8" w:space="0"/>
        <w:bottom w:val="single" w:color="auto" w:sz="4"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552">
    <w:name w:val="CM29"/>
    <w:basedOn w:val="127"/>
    <w:next w:val="127"/>
    <w:qFormat/>
    <w:uiPriority w:val="0"/>
    <w:rPr>
      <w:rFonts w:ascii="宋体" w:hAnsi="Calibri" w:eastAsia="宋体" w:cs="Times New Roman"/>
      <w:color w:val="auto"/>
    </w:rPr>
  </w:style>
  <w:style w:type="paragraph" w:customStyle="1" w:styleId="553">
    <w:name w:val="Char Char Char Char Char Char1 Char Char Char Char Char Char Char Char Char Char Char Char Char Char Char Char Char Char Char"/>
    <w:basedOn w:val="1"/>
    <w:qFormat/>
    <w:uiPriority w:val="0"/>
    <w:rPr>
      <w:b/>
      <w:bCs/>
      <w:sz w:val="36"/>
      <w:szCs w:val="32"/>
    </w:rPr>
  </w:style>
  <w:style w:type="paragraph" w:customStyle="1" w:styleId="554">
    <w:name w:val="xl127"/>
    <w:basedOn w:val="1"/>
    <w:qFormat/>
    <w:uiPriority w:val="99"/>
    <w:pPr>
      <w:widowControl/>
      <w:pBdr>
        <w:top w:val="single" w:color="auto" w:sz="4" w:space="0"/>
        <w:bottom w:val="single" w:color="auto" w:sz="4" w:space="0"/>
        <w:right w:val="single" w:color="auto" w:sz="8" w:space="0"/>
      </w:pBdr>
      <w:shd w:val="clear" w:color="auto" w:fill="FFFFFF"/>
      <w:spacing w:before="100" w:beforeAutospacing="1" w:after="100" w:afterAutospacing="1"/>
      <w:jc w:val="left"/>
      <w:textAlignment w:val="center"/>
    </w:pPr>
    <w:rPr>
      <w:rFonts w:hint="eastAsia" w:ascii="仿宋_GB2312" w:hAnsi="宋体" w:eastAsia="仿宋_GB2312"/>
      <w:kern w:val="0"/>
      <w:sz w:val="24"/>
    </w:rPr>
  </w:style>
  <w:style w:type="paragraph" w:customStyle="1" w:styleId="555">
    <w:name w:val="CM122"/>
    <w:basedOn w:val="127"/>
    <w:next w:val="127"/>
    <w:qFormat/>
    <w:uiPriority w:val="0"/>
    <w:rPr>
      <w:rFonts w:ascii="宋体" w:hAnsi="Calibri" w:eastAsia="宋体" w:cs="Times New Roman"/>
      <w:color w:val="auto"/>
    </w:rPr>
  </w:style>
  <w:style w:type="paragraph" w:customStyle="1" w:styleId="556">
    <w:name w:val="TOC 标题1"/>
    <w:basedOn w:val="2"/>
    <w:next w:val="1"/>
    <w:qFormat/>
    <w:uiPriority w:val="39"/>
    <w:pPr>
      <w:widowControl/>
      <w:autoSpaceDE/>
      <w:autoSpaceDN/>
      <w:adjustRightInd/>
      <w:spacing w:before="240" w:after="60" w:line="360" w:lineRule="auto"/>
      <w:ind w:firstLine="420" w:firstLineChars="200"/>
      <w:outlineLvl w:val="9"/>
    </w:pPr>
    <w:rPr>
      <w:rFonts w:ascii="Cambria" w:hAnsi="Cambria" w:eastAsia="宋体"/>
      <w:color w:val="auto"/>
      <w:kern w:val="32"/>
      <w:sz w:val="32"/>
      <w:szCs w:val="32"/>
      <w:lang w:bidi="en-US"/>
    </w:rPr>
  </w:style>
  <w:style w:type="paragraph" w:customStyle="1" w:styleId="557">
    <w:name w:val="Char1"/>
    <w:basedOn w:val="1"/>
    <w:qFormat/>
    <w:uiPriority w:val="99"/>
  </w:style>
  <w:style w:type="paragraph" w:customStyle="1" w:styleId="558">
    <w:name w:val="Style7"/>
    <w:basedOn w:val="411"/>
    <w:qFormat/>
    <w:uiPriority w:val="0"/>
    <w:pPr>
      <w:tabs>
        <w:tab w:val="left" w:pos="2394"/>
        <w:tab w:val="clear" w:pos="1260"/>
      </w:tabs>
    </w:pPr>
    <w:rPr>
      <w:bCs w:val="0"/>
      <w:szCs w:val="24"/>
    </w:rPr>
  </w:style>
  <w:style w:type="paragraph" w:customStyle="1" w:styleId="559">
    <w:name w:val="xl140"/>
    <w:basedOn w:val="1"/>
    <w:qFormat/>
    <w:uiPriority w:val="99"/>
    <w:pPr>
      <w:widowControl/>
      <w:pBdr>
        <w:bottom w:val="single" w:color="auto" w:sz="8" w:space="0"/>
        <w:righ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560">
    <w:name w:val="表"/>
    <w:basedOn w:val="1"/>
    <w:qFormat/>
    <w:uiPriority w:val="0"/>
    <w:pPr>
      <w:adjustRightInd w:val="0"/>
      <w:snapToGrid w:val="0"/>
      <w:spacing w:line="360" w:lineRule="auto"/>
      <w:jc w:val="center"/>
    </w:pPr>
    <w:rPr>
      <w:rFonts w:ascii="宋体" w:hAnsi="宋体"/>
      <w:snapToGrid w:val="0"/>
      <w:kern w:val="24"/>
      <w:szCs w:val="21"/>
    </w:rPr>
  </w:style>
  <w:style w:type="paragraph" w:customStyle="1" w:styleId="56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562">
    <w:name w:val="表格标题头"/>
    <w:basedOn w:val="1"/>
    <w:qFormat/>
    <w:uiPriority w:val="0"/>
    <w:pPr>
      <w:widowControl/>
      <w:spacing w:after="200" w:line="480" w:lineRule="exact"/>
      <w:jc w:val="center"/>
    </w:pPr>
    <w:rPr>
      <w:rFonts w:ascii="Arial" w:hAnsi="Arial" w:eastAsia="黑体" w:cs="Arial"/>
      <w:kern w:val="0"/>
      <w:sz w:val="24"/>
      <w:szCs w:val="20"/>
      <w:lang w:eastAsia="en-US"/>
    </w:rPr>
  </w:style>
  <w:style w:type="paragraph" w:customStyle="1" w:styleId="563">
    <w:name w:val="xl114"/>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564">
    <w:name w:val="单位名称"/>
    <w:basedOn w:val="23"/>
    <w:qFormat/>
    <w:uiPriority w:val="99"/>
    <w:pPr>
      <w:keepNext/>
      <w:widowControl/>
      <w:overflowPunct w:val="0"/>
      <w:autoSpaceDE w:val="0"/>
      <w:autoSpaceDN w:val="0"/>
      <w:adjustRightInd w:val="0"/>
      <w:spacing w:before="120" w:after="0" w:line="260" w:lineRule="exact"/>
      <w:ind w:left="-1440"/>
      <w:jc w:val="left"/>
      <w:textAlignment w:val="baseline"/>
    </w:pPr>
    <w:rPr>
      <w:rFonts w:ascii="Arial" w:hAnsi="Arial"/>
      <w:b/>
      <w:szCs w:val="20"/>
    </w:rPr>
  </w:style>
  <w:style w:type="paragraph" w:customStyle="1" w:styleId="565">
    <w:name w:val="blockquote"/>
    <w:basedOn w:val="1"/>
    <w:qFormat/>
    <w:uiPriority w:val="0"/>
    <w:pPr>
      <w:widowControl/>
      <w:spacing w:before="100" w:beforeAutospacing="1" w:after="100" w:afterAutospacing="1" w:line="360" w:lineRule="auto"/>
      <w:ind w:firstLine="420" w:firstLineChars="200"/>
      <w:jc w:val="left"/>
    </w:pPr>
    <w:rPr>
      <w:rFonts w:ascii="宋体" w:hAnsi="宋体" w:cs="宋体"/>
      <w:kern w:val="0"/>
      <w:szCs w:val="21"/>
      <w:lang w:bidi="en-US"/>
    </w:rPr>
  </w:style>
  <w:style w:type="paragraph" w:customStyle="1" w:styleId="566">
    <w:name w:val="CM87"/>
    <w:basedOn w:val="127"/>
    <w:next w:val="127"/>
    <w:qFormat/>
    <w:uiPriority w:val="0"/>
    <w:pPr>
      <w:spacing w:line="440" w:lineRule="atLeast"/>
    </w:pPr>
    <w:rPr>
      <w:rFonts w:ascii="宋体" w:hAnsi="Calibri" w:eastAsia="宋体" w:cs="Times New Roman"/>
      <w:color w:val="auto"/>
    </w:rPr>
  </w:style>
  <w:style w:type="paragraph" w:customStyle="1" w:styleId="567">
    <w:name w:val="newtext"/>
    <w:basedOn w:val="1"/>
    <w:qFormat/>
    <w:uiPriority w:val="0"/>
    <w:pPr>
      <w:widowControl/>
      <w:spacing w:before="100" w:beforeAutospacing="1" w:after="100" w:afterAutospacing="1" w:line="300" w:lineRule="atLeast"/>
      <w:jc w:val="left"/>
    </w:pPr>
    <w:rPr>
      <w:rFonts w:ascii="Arial Unicode MS" w:hAnsi="Arial Unicode MS"/>
      <w:kern w:val="0"/>
      <w:sz w:val="22"/>
      <w:szCs w:val="21"/>
      <w:lang w:eastAsia="en-US"/>
    </w:rPr>
  </w:style>
  <w:style w:type="paragraph" w:customStyle="1" w:styleId="568">
    <w:name w:val="Char Char Char Char Char Char Char Char Char Char1"/>
    <w:basedOn w:val="1"/>
    <w:qFormat/>
    <w:uiPriority w:val="0"/>
    <w:pPr>
      <w:tabs>
        <w:tab w:val="left" w:pos="425"/>
      </w:tabs>
      <w:ind w:left="425" w:hanging="425"/>
    </w:pPr>
    <w:rPr>
      <w:rFonts w:ascii="Arial" w:hAnsi="Arial" w:eastAsia="黑体" w:cs="宋体"/>
      <w:b/>
      <w:bCs/>
      <w:sz w:val="32"/>
      <w:szCs w:val="32"/>
    </w:rPr>
  </w:style>
  <w:style w:type="paragraph" w:customStyle="1" w:styleId="569">
    <w:name w:val="列表框1 Char"/>
    <w:basedOn w:val="1"/>
    <w:next w:val="1"/>
    <w:qFormat/>
    <w:uiPriority w:val="0"/>
    <w:pPr>
      <w:numPr>
        <w:ilvl w:val="0"/>
        <w:numId w:val="10"/>
      </w:numPr>
      <w:tabs>
        <w:tab w:val="left" w:pos="2018"/>
        <w:tab w:val="left" w:pos="2086"/>
        <w:tab w:val="left" w:pos="2325"/>
      </w:tabs>
      <w:adjustRightInd w:val="0"/>
      <w:snapToGrid w:val="0"/>
      <w:spacing w:afterLines="50" w:line="320" w:lineRule="exact"/>
      <w:ind w:left="2031" w:leftChars="665" w:hanging="435" w:hangingChars="189"/>
      <w:jc w:val="left"/>
    </w:pPr>
    <w:rPr>
      <w:rFonts w:ascii="Arial" w:hAnsi="Arial" w:eastAsia="楷体_GB2312" w:cs="Arial"/>
      <w:spacing w:val="10"/>
    </w:rPr>
  </w:style>
  <w:style w:type="paragraph" w:customStyle="1" w:styleId="570">
    <w:name w:val="Return Address"/>
    <w:qFormat/>
    <w:uiPriority w:val="0"/>
    <w:pPr>
      <w:tabs>
        <w:tab w:val="left" w:pos="2160"/>
        <w:tab w:val="left" w:pos="2873"/>
      </w:tabs>
      <w:overflowPunct w:val="0"/>
      <w:autoSpaceDE w:val="0"/>
      <w:autoSpaceDN w:val="0"/>
      <w:adjustRightInd w:val="0"/>
      <w:spacing w:after="200" w:line="240" w:lineRule="atLeast"/>
      <w:ind w:right="-240"/>
      <w:jc w:val="center"/>
      <w:textAlignment w:val="baseline"/>
    </w:pPr>
    <w:rPr>
      <w:rFonts w:ascii="Garamond" w:hAnsi="Garamond" w:eastAsia="宋体" w:cs="Times New Roman"/>
      <w:caps/>
      <w:spacing w:val="30"/>
      <w:sz w:val="14"/>
      <w:szCs w:val="22"/>
      <w:lang w:val="en-US" w:eastAsia="en-US" w:bidi="ar-SA"/>
    </w:rPr>
  </w:style>
  <w:style w:type="paragraph" w:customStyle="1" w:styleId="571">
    <w:name w:val="Char Char Char Char2"/>
    <w:basedOn w:val="1"/>
    <w:semiHidden/>
    <w:qFormat/>
    <w:uiPriority w:val="0"/>
  </w:style>
  <w:style w:type="paragraph" w:customStyle="1" w:styleId="572">
    <w:name w:val="Figure Description"/>
    <w:basedOn w:val="1"/>
    <w:qFormat/>
    <w:uiPriority w:val="0"/>
  </w:style>
  <w:style w:type="paragraph" w:customStyle="1" w:styleId="573">
    <w:name w:val="Identation 2"/>
    <w:qFormat/>
    <w:uiPriority w:val="0"/>
    <w:pPr>
      <w:overflowPunct w:val="0"/>
      <w:autoSpaceDE w:val="0"/>
      <w:autoSpaceDN w:val="0"/>
      <w:adjustRightInd w:val="0"/>
      <w:spacing w:before="120" w:after="60" w:line="288" w:lineRule="auto"/>
      <w:ind w:left="432"/>
      <w:jc w:val="both"/>
      <w:textAlignment w:val="baseline"/>
    </w:pPr>
    <w:rPr>
      <w:rFonts w:ascii="Times New Roman" w:hAnsi="Times New Roman" w:eastAsia="楷体_GB2312" w:cs="Times New Roman"/>
      <w:color w:val="000000"/>
      <w:sz w:val="24"/>
      <w:lang w:val="en-US" w:eastAsia="zh-CN" w:bidi="ar-SA"/>
    </w:rPr>
  </w:style>
  <w:style w:type="paragraph" w:customStyle="1" w:styleId="574">
    <w:name w:val="xl117"/>
    <w:basedOn w:val="1"/>
    <w:qFormat/>
    <w:uiPriority w:val="99"/>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75">
    <w:name w:val="样式 第五行 + 左侧:  -8 字符 段前: 2 行1"/>
    <w:basedOn w:val="464"/>
    <w:qFormat/>
    <w:uiPriority w:val="0"/>
    <w:pPr>
      <w:ind w:left="-300" w:leftChars="-300"/>
    </w:pPr>
    <w:rPr>
      <w:szCs w:val="20"/>
    </w:rPr>
  </w:style>
  <w:style w:type="paragraph" w:customStyle="1" w:styleId="576">
    <w:name w:val="CM27"/>
    <w:basedOn w:val="1"/>
    <w:next w:val="1"/>
    <w:qFormat/>
    <w:uiPriority w:val="0"/>
    <w:pPr>
      <w:autoSpaceDE w:val="0"/>
      <w:autoSpaceDN w:val="0"/>
      <w:adjustRightInd w:val="0"/>
      <w:spacing w:after="128"/>
      <w:jc w:val="left"/>
    </w:pPr>
    <w:rPr>
      <w:rFonts w:ascii="宋体" w:cs="宋体"/>
      <w:kern w:val="0"/>
      <w:sz w:val="24"/>
    </w:rPr>
  </w:style>
  <w:style w:type="paragraph" w:customStyle="1" w:styleId="577">
    <w:name w:val="xl94"/>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78">
    <w:name w:val="CM99"/>
    <w:basedOn w:val="127"/>
    <w:next w:val="127"/>
    <w:qFormat/>
    <w:uiPriority w:val="0"/>
    <w:rPr>
      <w:rFonts w:ascii="宋体" w:hAnsi="Calibri" w:eastAsia="宋体" w:cs="Times New Roman"/>
      <w:color w:val="auto"/>
    </w:rPr>
  </w:style>
  <w:style w:type="paragraph" w:customStyle="1" w:styleId="579">
    <w:name w:val="默认段落字体 Para Char Char Char Char Char Char Char Char Char1 Char Char Char Char Char Char Char"/>
    <w:basedOn w:val="18"/>
    <w:qFormat/>
    <w:uiPriority w:val="99"/>
    <w:rPr>
      <w:rFonts w:ascii="Tahoma" w:hAnsi="Tahoma" w:cs="Tahoma"/>
      <w:kern w:val="2"/>
      <w:shd w:val="clear" w:color="auto" w:fill="auto"/>
    </w:rPr>
  </w:style>
  <w:style w:type="paragraph" w:customStyle="1" w:styleId="580">
    <w:name w:val="xl8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581">
    <w:name w:val="xl130"/>
    <w:basedOn w:val="1"/>
    <w:qFormat/>
    <w:uiPriority w:val="99"/>
    <w:pPr>
      <w:widowControl/>
      <w:pBdr>
        <w:top w:val="single" w:color="auto" w:sz="4" w:space="0"/>
        <w:left w:val="single" w:color="auto" w:sz="8" w:space="0"/>
        <w:bottom w:val="single" w:color="auto" w:sz="4"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582">
    <w:name w:val="Char3"/>
    <w:basedOn w:val="1"/>
    <w:qFormat/>
    <w:uiPriority w:val="0"/>
    <w:pPr>
      <w:tabs>
        <w:tab w:val="left" w:pos="432"/>
      </w:tabs>
      <w:ind w:left="432" w:hanging="432"/>
    </w:pPr>
    <w:rPr>
      <w:sz w:val="24"/>
    </w:rPr>
  </w:style>
  <w:style w:type="paragraph" w:customStyle="1" w:styleId="583">
    <w:name w:val="xl99"/>
    <w:basedOn w:val="1"/>
    <w:qFormat/>
    <w:uiPriority w:val="99"/>
    <w:pPr>
      <w:widowControl/>
      <w:pBdr>
        <w:top w:val="single" w:color="auto" w:sz="8" w:space="0"/>
        <w:right w:val="single" w:color="auto" w:sz="4"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584">
    <w:name w:val="+正文"/>
    <w:basedOn w:val="1"/>
    <w:qFormat/>
    <w:uiPriority w:val="0"/>
    <w:pPr>
      <w:spacing w:line="360" w:lineRule="auto"/>
      <w:ind w:firstLine="200" w:firstLineChars="200"/>
    </w:pPr>
    <w:rPr>
      <w:rFonts w:eastAsia="楷体_GB2312"/>
      <w:szCs w:val="28"/>
    </w:rPr>
  </w:style>
  <w:style w:type="paragraph" w:customStyle="1" w:styleId="585">
    <w:name w:val="CM111"/>
    <w:basedOn w:val="127"/>
    <w:next w:val="127"/>
    <w:qFormat/>
    <w:uiPriority w:val="0"/>
    <w:rPr>
      <w:rFonts w:ascii="宋体" w:hAnsi="Calibri" w:eastAsia="宋体" w:cs="Times New Roman"/>
      <w:color w:val="auto"/>
    </w:rPr>
  </w:style>
  <w:style w:type="paragraph" w:customStyle="1" w:styleId="586">
    <w:name w:val="font10"/>
    <w:basedOn w:val="1"/>
    <w:qFormat/>
    <w:uiPriority w:val="99"/>
    <w:pPr>
      <w:widowControl/>
      <w:spacing w:before="100" w:beforeAutospacing="1" w:after="100" w:afterAutospacing="1"/>
      <w:jc w:val="left"/>
    </w:pPr>
    <w:rPr>
      <w:rFonts w:eastAsia="Arial Unicode MS"/>
      <w:kern w:val="0"/>
      <w:sz w:val="12"/>
      <w:szCs w:val="12"/>
    </w:rPr>
  </w:style>
  <w:style w:type="paragraph" w:customStyle="1" w:styleId="587">
    <w:name w:val="正文悬挂缩进"/>
    <w:basedOn w:val="15"/>
    <w:qFormat/>
    <w:uiPriority w:val="99"/>
    <w:pPr>
      <w:tabs>
        <w:tab w:val="clear" w:pos="750"/>
      </w:tabs>
      <w:adjustRightInd w:val="0"/>
      <w:snapToGrid w:val="0"/>
      <w:spacing w:beforeLines="0" w:line="360" w:lineRule="auto"/>
      <w:ind w:left="200" w:leftChars="200"/>
      <w:jc w:val="left"/>
    </w:pPr>
    <w:rPr>
      <w:rFonts w:ascii="Times New Roman"/>
      <w:sz w:val="24"/>
      <w:szCs w:val="24"/>
    </w:rPr>
  </w:style>
  <w:style w:type="paragraph" w:customStyle="1" w:styleId="588">
    <w:name w:val="xl125"/>
    <w:basedOn w:val="1"/>
    <w:qFormat/>
    <w:uiPriority w:val="99"/>
    <w:pPr>
      <w:widowControl/>
      <w:pBdr>
        <w:top w:val="single" w:color="auto" w:sz="4" w:space="0"/>
        <w:left w:val="single" w:color="auto" w:sz="8" w:space="0"/>
        <w:bottom w:val="single" w:color="auto" w:sz="4" w:space="0"/>
      </w:pBdr>
      <w:shd w:val="clear" w:color="auto" w:fill="FFFFFF"/>
      <w:spacing w:before="100" w:beforeAutospacing="1" w:after="100" w:afterAutospacing="1"/>
      <w:jc w:val="left"/>
      <w:textAlignment w:val="center"/>
    </w:pPr>
    <w:rPr>
      <w:rFonts w:hint="eastAsia" w:ascii="仿宋_GB2312" w:hAnsi="宋体" w:eastAsia="仿宋_GB2312"/>
      <w:kern w:val="0"/>
      <w:sz w:val="24"/>
    </w:rPr>
  </w:style>
  <w:style w:type="paragraph" w:customStyle="1" w:styleId="589">
    <w:name w:val="正文样式"/>
    <w:basedOn w:val="1"/>
    <w:qFormat/>
    <w:uiPriority w:val="0"/>
    <w:pPr>
      <w:spacing w:line="360" w:lineRule="auto"/>
      <w:ind w:firstLine="480" w:firstLineChars="200"/>
    </w:pPr>
    <w:rPr>
      <w:rFonts w:ascii="宋体" w:hAnsi="宋体" w:cs="宋体"/>
      <w:sz w:val="24"/>
      <w:szCs w:val="20"/>
    </w:rPr>
  </w:style>
  <w:style w:type="paragraph" w:customStyle="1" w:styleId="590">
    <w:name w:val="样式8"/>
    <w:basedOn w:val="4"/>
    <w:qFormat/>
    <w:uiPriority w:val="0"/>
    <w:pPr>
      <w:keepLines w:val="0"/>
      <w:widowControl/>
      <w:tabs>
        <w:tab w:val="left" w:pos="3660"/>
      </w:tabs>
      <w:spacing w:before="160" w:after="240" w:line="500" w:lineRule="exact"/>
      <w:ind w:left="3660" w:hanging="720"/>
      <w:jc w:val="left"/>
    </w:pPr>
    <w:rPr>
      <w:rFonts w:ascii="Times New Roman" w:eastAsia="黑体"/>
      <w:bCs w:val="0"/>
      <w:sz w:val="24"/>
      <w:szCs w:val="24"/>
      <w:lang w:bidi="en-US"/>
    </w:rPr>
  </w:style>
  <w:style w:type="paragraph" w:customStyle="1" w:styleId="591">
    <w:name w:val="表样式"/>
    <w:basedOn w:val="1"/>
    <w:qFormat/>
    <w:uiPriority w:val="99"/>
    <w:pPr>
      <w:tabs>
        <w:tab w:val="left" w:pos="480"/>
      </w:tabs>
      <w:jc w:val="center"/>
    </w:pPr>
    <w:rPr>
      <w:rFonts w:ascii="宋体" w:hAnsi="宋体"/>
      <w:kern w:val="0"/>
      <w:szCs w:val="21"/>
    </w:rPr>
  </w:style>
  <w:style w:type="paragraph" w:customStyle="1" w:styleId="59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93">
    <w:name w:val="xl89"/>
    <w:basedOn w:val="1"/>
    <w:qFormat/>
    <w:uiPriority w:val="99"/>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94">
    <w:name w:val="BEA正文首行缩进"/>
    <w:basedOn w:val="1"/>
    <w:qFormat/>
    <w:uiPriority w:val="0"/>
    <w:pPr>
      <w:spacing w:line="360" w:lineRule="auto"/>
      <w:ind w:firstLine="200" w:firstLineChars="200"/>
    </w:pPr>
    <w:rPr>
      <w:rFonts w:ascii="Arial" w:hAnsi="Arial"/>
      <w:spacing w:val="8"/>
      <w:kern w:val="44"/>
      <w:sz w:val="24"/>
    </w:rPr>
  </w:style>
  <w:style w:type="paragraph" w:customStyle="1" w:styleId="595">
    <w:name w:val="Text 2"/>
    <w:basedOn w:val="1"/>
    <w:qFormat/>
    <w:uiPriority w:val="0"/>
    <w:pPr>
      <w:widowControl/>
      <w:spacing w:before="240" w:after="200" w:line="360" w:lineRule="atLeast"/>
      <w:ind w:left="1080"/>
      <w:jc w:val="left"/>
    </w:pPr>
    <w:rPr>
      <w:rFonts w:ascii="Calibri" w:hAnsi="Calibri"/>
      <w:kern w:val="0"/>
      <w:sz w:val="24"/>
      <w:szCs w:val="20"/>
      <w:lang w:eastAsia="en-US"/>
    </w:rPr>
  </w:style>
  <w:style w:type="paragraph" w:customStyle="1" w:styleId="596">
    <w:name w:val="Char Char1 Char Char Char Char"/>
    <w:basedOn w:val="1"/>
    <w:qFormat/>
    <w:uiPriority w:val="0"/>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597">
    <w:name w:val="font11"/>
    <w:basedOn w:val="1"/>
    <w:qFormat/>
    <w:uiPriority w:val="99"/>
    <w:pPr>
      <w:widowControl/>
      <w:spacing w:before="100" w:beforeAutospacing="1" w:after="100" w:afterAutospacing="1"/>
      <w:jc w:val="left"/>
    </w:pPr>
    <w:rPr>
      <w:rFonts w:hint="eastAsia" w:ascii="宋体" w:hAnsi="宋体" w:cs="Arial Unicode MS"/>
      <w:kern w:val="0"/>
      <w:sz w:val="12"/>
      <w:szCs w:val="12"/>
    </w:rPr>
  </w:style>
  <w:style w:type="paragraph" w:customStyle="1" w:styleId="598">
    <w:name w:val="xl129"/>
    <w:basedOn w:val="1"/>
    <w:qFormat/>
    <w:uiPriority w:val="99"/>
    <w:pPr>
      <w:widowControl/>
      <w:pBdr>
        <w:top w:val="single" w:color="auto" w:sz="8" w:space="0"/>
        <w:righ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599">
    <w:name w:val="font12"/>
    <w:basedOn w:val="1"/>
    <w:qFormat/>
    <w:uiPriority w:val="99"/>
    <w:pPr>
      <w:widowControl/>
      <w:spacing w:before="100" w:beforeAutospacing="1" w:after="100" w:afterAutospacing="1"/>
      <w:jc w:val="left"/>
    </w:pPr>
    <w:rPr>
      <w:rFonts w:hint="eastAsia" w:ascii="宋体" w:hAnsi="宋体" w:cs="Arial Unicode MS"/>
      <w:kern w:val="0"/>
      <w:sz w:val="12"/>
      <w:szCs w:val="12"/>
    </w:rPr>
  </w:style>
  <w:style w:type="paragraph" w:customStyle="1" w:styleId="600">
    <w:name w:val="xl8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01">
    <w:name w:val="菲页2"/>
    <w:basedOn w:val="4"/>
    <w:qFormat/>
    <w:uiPriority w:val="0"/>
    <w:pPr>
      <w:widowControl/>
      <w:tabs>
        <w:tab w:val="left" w:pos="1260"/>
      </w:tabs>
      <w:ind w:firstLine="0" w:firstLineChars="0"/>
    </w:pPr>
    <w:rPr>
      <w:rFonts w:hint="eastAsia" w:ascii="黑体" w:hAnsi="宋体" w:eastAsia="黑体"/>
      <w:b w:val="0"/>
      <w:bCs w:val="0"/>
      <w:sz w:val="44"/>
      <w:szCs w:val="20"/>
    </w:rPr>
  </w:style>
  <w:style w:type="paragraph" w:customStyle="1" w:styleId="602">
    <w:name w:val="xl132"/>
    <w:basedOn w:val="1"/>
    <w:qFormat/>
    <w:uiPriority w:val="99"/>
    <w:pPr>
      <w:widowControl/>
      <w:pBdr>
        <w:top w:val="single" w:color="auto" w:sz="4" w:space="0"/>
        <w:bottom w:val="single" w:color="auto" w:sz="4" w:space="0"/>
        <w:righ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603">
    <w:name w:val="xl108"/>
    <w:basedOn w:val="1"/>
    <w:qFormat/>
    <w:uiPriority w:val="99"/>
    <w:pPr>
      <w:widowControl/>
      <w:pBdr>
        <w:top w:val="single" w:color="auto" w:sz="8"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604">
    <w:name w:val="CM110"/>
    <w:basedOn w:val="127"/>
    <w:next w:val="127"/>
    <w:qFormat/>
    <w:uiPriority w:val="0"/>
    <w:rPr>
      <w:rFonts w:ascii="宋体" w:hAnsi="Calibri" w:eastAsia="宋体" w:cs="Times New Roman"/>
      <w:color w:val="auto"/>
    </w:rPr>
  </w:style>
  <w:style w:type="paragraph" w:customStyle="1" w:styleId="605">
    <w:name w:val="xl9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606">
    <w:name w:val="CM107"/>
    <w:basedOn w:val="127"/>
    <w:next w:val="127"/>
    <w:qFormat/>
    <w:uiPriority w:val="0"/>
    <w:rPr>
      <w:rFonts w:ascii="宋体" w:hAnsi="Calibri" w:eastAsia="宋体" w:cs="Times New Roman"/>
      <w:color w:val="auto"/>
    </w:rPr>
  </w:style>
  <w:style w:type="paragraph" w:customStyle="1" w:styleId="607">
    <w:name w:val="Char Char1"/>
    <w:basedOn w:val="18"/>
    <w:qFormat/>
    <w:uiPriority w:val="99"/>
    <w:rPr>
      <w:rFonts w:ascii="Tahoma" w:hAnsi="Tahoma" w:cs="Tahoma"/>
      <w:kern w:val="2"/>
      <w:shd w:val="clear" w:color="auto" w:fill="auto"/>
    </w:rPr>
  </w:style>
  <w:style w:type="paragraph" w:customStyle="1" w:styleId="608">
    <w:name w:val="CM6"/>
    <w:basedOn w:val="127"/>
    <w:next w:val="127"/>
    <w:qFormat/>
    <w:uiPriority w:val="0"/>
    <w:pPr>
      <w:spacing w:line="313" w:lineRule="atLeast"/>
    </w:pPr>
    <w:rPr>
      <w:rFonts w:ascii="宋体" w:hAnsi="Calibri" w:eastAsia="宋体" w:cs="Times New Roman"/>
      <w:color w:val="auto"/>
    </w:rPr>
  </w:style>
  <w:style w:type="paragraph" w:customStyle="1" w:styleId="609">
    <w:name w:val="p_table_l"/>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610">
    <w:name w:val="Table Description"/>
    <w:basedOn w:val="1"/>
    <w:qFormat/>
    <w:uiPriority w:val="0"/>
  </w:style>
  <w:style w:type="paragraph" w:customStyle="1" w:styleId="611">
    <w:name w:val="CM92"/>
    <w:basedOn w:val="127"/>
    <w:next w:val="127"/>
    <w:qFormat/>
    <w:uiPriority w:val="0"/>
    <w:pPr>
      <w:spacing w:line="440" w:lineRule="atLeast"/>
    </w:pPr>
    <w:rPr>
      <w:rFonts w:ascii="宋体" w:hAnsi="Calibri" w:eastAsia="宋体" w:cs="Times New Roman"/>
      <w:color w:val="auto"/>
    </w:rPr>
  </w:style>
  <w:style w:type="paragraph" w:customStyle="1" w:styleId="612">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613">
    <w:name w:val="xl76"/>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614">
    <w:name w:val="菲页1"/>
    <w:basedOn w:val="3"/>
    <w:qFormat/>
    <w:uiPriority w:val="0"/>
    <w:pPr>
      <w:widowControl/>
      <w:tabs>
        <w:tab w:val="left" w:pos="1050"/>
      </w:tabs>
      <w:spacing w:before="260" w:after="260" w:line="413" w:lineRule="auto"/>
      <w:ind w:left="784" w:hanging="360"/>
    </w:pPr>
    <w:rPr>
      <w:rFonts w:hint="eastAsia" w:ascii="黑体" w:hAnsi="宋体" w:eastAsia="黑体"/>
      <w:b w:val="0"/>
      <w:bCs w:val="0"/>
      <w:sz w:val="52"/>
      <w:szCs w:val="20"/>
    </w:rPr>
  </w:style>
  <w:style w:type="paragraph" w:customStyle="1" w:styleId="615">
    <w:name w:val="xl67"/>
    <w:basedOn w:val="1"/>
    <w:qFormat/>
    <w:uiPriority w:val="99"/>
    <w:pPr>
      <w:widowControl/>
      <w:pBdr>
        <w:top w:val="single" w:color="auto" w:sz="4" w:space="0"/>
        <w:bottom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12"/>
      <w:szCs w:val="12"/>
    </w:rPr>
  </w:style>
  <w:style w:type="paragraph" w:customStyle="1" w:styleId="616">
    <w:name w:val="1.1"/>
    <w:basedOn w:val="3"/>
    <w:qFormat/>
    <w:uiPriority w:val="0"/>
    <w:pPr>
      <w:keepNext w:val="0"/>
      <w:keepLines w:val="0"/>
      <w:tabs>
        <w:tab w:val="left" w:pos="1050"/>
      </w:tabs>
      <w:autoSpaceDE w:val="0"/>
      <w:autoSpaceDN w:val="0"/>
      <w:adjustRightInd w:val="0"/>
      <w:spacing w:before="0" w:after="0"/>
      <w:jc w:val="left"/>
      <w:outlineLvl w:val="2"/>
    </w:pPr>
    <w:rPr>
      <w:rFonts w:ascii="宋体" w:hAnsi="宋体"/>
      <w:b w:val="0"/>
      <w:bCs w:val="0"/>
      <w:sz w:val="21"/>
      <w:szCs w:val="20"/>
    </w:rPr>
  </w:style>
  <w:style w:type="paragraph" w:customStyle="1" w:styleId="617">
    <w:name w:val="xl68"/>
    <w:basedOn w:val="1"/>
    <w:qFormat/>
    <w:uiPriority w:val="99"/>
    <w:pPr>
      <w:widowControl/>
      <w:pBdr>
        <w:top w:val="single" w:color="auto" w:sz="4" w:space="0"/>
        <w:left w:val="single" w:color="auto" w:sz="4" w:space="0"/>
        <w:bottom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2"/>
      <w:szCs w:val="12"/>
    </w:rPr>
  </w:style>
  <w:style w:type="paragraph" w:customStyle="1" w:styleId="618">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2"/>
      <w:szCs w:val="12"/>
    </w:rPr>
  </w:style>
  <w:style w:type="paragraph" w:customStyle="1" w:styleId="619">
    <w:name w:val="xl128"/>
    <w:basedOn w:val="1"/>
    <w:qFormat/>
    <w:uiPriority w:val="99"/>
    <w:pPr>
      <w:widowControl/>
      <w:pBdr>
        <w:top w:val="single" w:color="auto" w:sz="8" w:space="0"/>
        <w:lef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620">
    <w:name w:val="xl8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2"/>
      <w:szCs w:val="12"/>
    </w:rPr>
  </w:style>
  <w:style w:type="paragraph" w:customStyle="1" w:styleId="621">
    <w:name w:val="xl103"/>
    <w:basedOn w:val="1"/>
    <w:qFormat/>
    <w:uiPriority w:val="99"/>
    <w:pPr>
      <w:widowControl/>
      <w:pBdr>
        <w:left w:val="single" w:color="auto" w:sz="8" w:space="0"/>
        <w:bottom w:val="single" w:color="auto" w:sz="4" w:space="0"/>
      </w:pBdr>
      <w:spacing w:before="100" w:beforeAutospacing="1" w:after="100" w:afterAutospacing="1"/>
      <w:jc w:val="center"/>
      <w:textAlignment w:val="center"/>
    </w:pPr>
    <w:rPr>
      <w:rFonts w:ascii="Courier New" w:hAnsi="Courier New" w:eastAsia="Arial Unicode MS" w:cs="Courier New"/>
      <w:kern w:val="0"/>
      <w:sz w:val="28"/>
      <w:szCs w:val="28"/>
    </w:rPr>
  </w:style>
  <w:style w:type="paragraph" w:customStyle="1" w:styleId="622">
    <w:name w:val="招标文件1"/>
    <w:basedOn w:val="1"/>
    <w:qFormat/>
    <w:uiPriority w:val="0"/>
    <w:pPr>
      <w:numPr>
        <w:ilvl w:val="1"/>
        <w:numId w:val="1"/>
      </w:numPr>
      <w:tabs>
        <w:tab w:val="left" w:pos="420"/>
      </w:tabs>
      <w:spacing w:before="120" w:after="120" w:line="480" w:lineRule="exact"/>
      <w:ind w:firstLine="0"/>
      <w:jc w:val="left"/>
      <w:outlineLvl w:val="1"/>
    </w:pPr>
    <w:rPr>
      <w:rFonts w:ascii="宋体"/>
      <w:b/>
      <w:spacing w:val="10"/>
      <w:w w:val="95"/>
      <w:kern w:val="0"/>
      <w:sz w:val="28"/>
    </w:rPr>
  </w:style>
  <w:style w:type="paragraph" w:customStyle="1" w:styleId="623">
    <w:name w:val="Table Heading"/>
    <w:basedOn w:val="1"/>
    <w:qFormat/>
    <w:uiPriority w:val="0"/>
    <w:pPr>
      <w:keepLines/>
      <w:widowControl/>
      <w:tabs>
        <w:tab w:val="left" w:pos="1260"/>
      </w:tabs>
      <w:overflowPunct w:val="0"/>
      <w:autoSpaceDE w:val="0"/>
      <w:autoSpaceDN w:val="0"/>
      <w:adjustRightInd w:val="0"/>
      <w:spacing w:before="120" w:after="120" w:line="276" w:lineRule="auto"/>
      <w:jc w:val="left"/>
      <w:textAlignment w:val="baseline"/>
    </w:pPr>
    <w:rPr>
      <w:rFonts w:ascii="Book Antiqua" w:hAnsi="Book Antiqua"/>
      <w:b/>
      <w:kern w:val="0"/>
      <w:sz w:val="16"/>
      <w:szCs w:val="20"/>
      <w:lang w:eastAsia="en-US"/>
    </w:rPr>
  </w:style>
  <w:style w:type="paragraph" w:customStyle="1" w:styleId="624">
    <w:name w:val="xl124"/>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12"/>
      <w:szCs w:val="12"/>
    </w:rPr>
  </w:style>
  <w:style w:type="paragraph" w:customStyle="1" w:styleId="625">
    <w:name w:val="样式9"/>
    <w:basedOn w:val="4"/>
    <w:qFormat/>
    <w:uiPriority w:val="0"/>
    <w:pPr>
      <w:keepLines w:val="0"/>
      <w:widowControl/>
      <w:tabs>
        <w:tab w:val="left" w:pos="3660"/>
      </w:tabs>
      <w:spacing w:before="160" w:line="500" w:lineRule="exact"/>
      <w:ind w:left="3660" w:hanging="720"/>
      <w:jc w:val="left"/>
    </w:pPr>
    <w:rPr>
      <w:rFonts w:ascii="Times New Roman" w:eastAsia="黑体"/>
      <w:bCs w:val="0"/>
      <w:sz w:val="24"/>
      <w:szCs w:val="24"/>
      <w:lang w:bidi="en-US"/>
    </w:rPr>
  </w:style>
  <w:style w:type="paragraph" w:customStyle="1" w:styleId="626">
    <w:name w:val="CM71"/>
    <w:basedOn w:val="127"/>
    <w:next w:val="127"/>
    <w:qFormat/>
    <w:uiPriority w:val="0"/>
    <w:pPr>
      <w:spacing w:line="468" w:lineRule="atLeast"/>
    </w:pPr>
    <w:rPr>
      <w:rFonts w:ascii="宋体" w:hAnsi="Calibri" w:eastAsia="宋体" w:cs="Times New Roman"/>
      <w:color w:val="auto"/>
    </w:rPr>
  </w:style>
  <w:style w:type="paragraph" w:customStyle="1" w:styleId="627">
    <w:name w:val="实现"/>
    <w:basedOn w:val="1"/>
    <w:qFormat/>
    <w:uiPriority w:val="99"/>
    <w:pPr>
      <w:keepLines/>
      <w:widowControl/>
      <w:overflowPunct w:val="0"/>
      <w:autoSpaceDE w:val="0"/>
      <w:autoSpaceDN w:val="0"/>
      <w:adjustRightInd w:val="0"/>
      <w:spacing w:line="260" w:lineRule="exact"/>
      <w:ind w:left="-1080"/>
      <w:jc w:val="left"/>
      <w:textAlignment w:val="baseline"/>
    </w:pPr>
    <w:rPr>
      <w:rFonts w:ascii="Arial" w:hAnsi="Arial"/>
      <w:i/>
      <w:kern w:val="0"/>
      <w:sz w:val="20"/>
      <w:szCs w:val="20"/>
    </w:rPr>
  </w:style>
  <w:style w:type="paragraph" w:customStyle="1" w:styleId="628">
    <w:name w:val="招标文件1.1"/>
    <w:qFormat/>
    <w:uiPriority w:val="0"/>
    <w:pPr>
      <w:numPr>
        <w:ilvl w:val="2"/>
        <w:numId w:val="1"/>
      </w:numPr>
      <w:tabs>
        <w:tab w:val="left" w:pos="630"/>
      </w:tabs>
      <w:spacing w:before="120" w:after="120" w:line="480" w:lineRule="exact"/>
      <w:ind w:firstLine="0"/>
      <w:outlineLvl w:val="2"/>
    </w:pPr>
    <w:rPr>
      <w:rFonts w:ascii="宋体" w:hAnsi="Times New Roman" w:eastAsia="宋体" w:cs="Times New Roman"/>
      <w:b/>
      <w:spacing w:val="10"/>
      <w:w w:val="95"/>
      <w:sz w:val="24"/>
      <w:lang w:val="en-US" w:eastAsia="zh-CN" w:bidi="ar-SA"/>
    </w:rPr>
  </w:style>
  <w:style w:type="paragraph" w:customStyle="1" w:styleId="629">
    <w:name w:val="着重行文字"/>
    <w:basedOn w:val="1"/>
    <w:qFormat/>
    <w:uiPriority w:val="99"/>
    <w:pPr>
      <w:widowControl/>
      <w:tabs>
        <w:tab w:val="left" w:pos="720"/>
        <w:tab w:val="left" w:pos="900"/>
      </w:tabs>
      <w:autoSpaceDE w:val="0"/>
      <w:autoSpaceDN w:val="0"/>
      <w:snapToGrid w:val="0"/>
      <w:spacing w:before="120" w:after="40" w:line="360" w:lineRule="auto"/>
      <w:ind w:hanging="900"/>
      <w:textAlignment w:val="bottom"/>
    </w:pPr>
    <w:rPr>
      <w:rFonts w:ascii="宋体"/>
      <w:snapToGrid w:val="0"/>
      <w:sz w:val="24"/>
      <w:szCs w:val="20"/>
    </w:rPr>
  </w:style>
  <w:style w:type="paragraph" w:customStyle="1" w:styleId="630">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31">
    <w:name w:val="样式 日期 + 黑体 三号"/>
    <w:basedOn w:val="34"/>
    <w:qFormat/>
    <w:uiPriority w:val="0"/>
    <w:pPr>
      <w:spacing w:line="600" w:lineRule="exact"/>
      <w:ind w:left="0" w:leftChars="0"/>
    </w:pPr>
    <w:rPr>
      <w:rFonts w:ascii="黑体" w:hAnsi="黑体" w:eastAsia="黑体"/>
      <w:kern w:val="2"/>
      <w:sz w:val="32"/>
    </w:rPr>
  </w:style>
  <w:style w:type="paragraph" w:customStyle="1" w:styleId="632">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633">
    <w:name w:val="样式6"/>
    <w:basedOn w:val="456"/>
    <w:qFormat/>
    <w:uiPriority w:val="0"/>
  </w:style>
  <w:style w:type="paragraph" w:customStyle="1" w:styleId="634">
    <w:name w:val="xl123"/>
    <w:basedOn w:val="1"/>
    <w:qFormat/>
    <w:uiPriority w:val="99"/>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635">
    <w:name w:val="CM11"/>
    <w:basedOn w:val="127"/>
    <w:next w:val="127"/>
    <w:qFormat/>
    <w:uiPriority w:val="0"/>
    <w:pPr>
      <w:spacing w:line="403" w:lineRule="atLeast"/>
    </w:pPr>
    <w:rPr>
      <w:rFonts w:ascii="宋体" w:hAnsi="Calibri" w:eastAsia="宋体" w:cs="Times New Roman"/>
      <w:color w:val="auto"/>
    </w:rPr>
  </w:style>
  <w:style w:type="paragraph" w:customStyle="1" w:styleId="636">
    <w:name w:val="第1行"/>
    <w:basedOn w:val="1"/>
    <w:qFormat/>
    <w:uiPriority w:val="0"/>
    <w:pPr>
      <w:tabs>
        <w:tab w:val="left" w:pos="927"/>
      </w:tabs>
      <w:snapToGrid w:val="0"/>
      <w:spacing w:line="460" w:lineRule="exact"/>
      <w:ind w:firstLine="567"/>
    </w:pPr>
    <w:rPr>
      <w:rFonts w:ascii="宋体" w:hAnsi="宋体"/>
      <w:szCs w:val="28"/>
    </w:rPr>
  </w:style>
  <w:style w:type="paragraph" w:customStyle="1" w:styleId="637">
    <w:name w:val="Char Char2 Char Char Char Char Char Char Char Char Char Char Char Char Char"/>
    <w:basedOn w:val="1"/>
    <w:qFormat/>
    <w:uiPriority w:val="0"/>
    <w:pPr>
      <w:ind w:firstLine="360" w:firstLineChars="150"/>
    </w:pPr>
    <w:rPr>
      <w:rFonts w:ascii="Tahoma" w:hAnsi="Tahoma"/>
      <w:sz w:val="24"/>
      <w:szCs w:val="20"/>
    </w:rPr>
  </w:style>
  <w:style w:type="paragraph" w:customStyle="1" w:styleId="638">
    <w:name w:val="招标文件1.1.1"/>
    <w:qFormat/>
    <w:uiPriority w:val="0"/>
    <w:pPr>
      <w:numPr>
        <w:ilvl w:val="3"/>
        <w:numId w:val="1"/>
      </w:numPr>
      <w:spacing w:before="120" w:after="120" w:line="480" w:lineRule="exact"/>
      <w:ind w:firstLine="0"/>
      <w:outlineLvl w:val="3"/>
    </w:pPr>
    <w:rPr>
      <w:rFonts w:ascii="宋体" w:hAnsi="Times New Roman" w:eastAsia="宋体" w:cs="Times New Roman"/>
      <w:b/>
      <w:spacing w:val="10"/>
      <w:w w:val="95"/>
      <w:sz w:val="21"/>
      <w:lang w:val="en-US" w:eastAsia="zh-CN" w:bidi="ar-SA"/>
    </w:rPr>
  </w:style>
  <w:style w:type="paragraph" w:customStyle="1" w:styleId="639">
    <w:name w:val="样式 样式 样式5 + 首行缩进:  2 字符 + 首行缩进:  2 字符 段前: 0.8 行 段后: 0.6 行"/>
    <w:basedOn w:val="640"/>
    <w:qFormat/>
    <w:uiPriority w:val="0"/>
    <w:pPr>
      <w:spacing w:beforeLines="0" w:afterLines="0"/>
      <w:ind w:firstLine="0" w:firstLineChars="0"/>
    </w:pPr>
    <w:rPr>
      <w:rFonts w:ascii="仿宋_GB2312" w:hAnsi="仿宋" w:eastAsia="仿宋_GB2312"/>
      <w:b w:val="0"/>
      <w:sz w:val="20"/>
      <w:szCs w:val="20"/>
    </w:rPr>
  </w:style>
  <w:style w:type="paragraph" w:customStyle="1" w:styleId="640">
    <w:name w:val="样式 样式5 + 首行缩进:  2 字符"/>
    <w:basedOn w:val="309"/>
    <w:qFormat/>
    <w:uiPriority w:val="0"/>
    <w:pPr>
      <w:ind w:firstLine="200" w:firstLineChars="200"/>
      <w:jc w:val="both"/>
    </w:pPr>
    <w:rPr>
      <w:rFonts w:ascii="Times New Roman" w:eastAsia="宋体" w:cs="宋体"/>
      <w:sz w:val="24"/>
      <w:szCs w:val="24"/>
    </w:rPr>
  </w:style>
  <w:style w:type="paragraph" w:customStyle="1" w:styleId="641">
    <w:name w:val="符号标题3"/>
    <w:basedOn w:val="1"/>
    <w:qFormat/>
    <w:uiPriority w:val="99"/>
    <w:pPr>
      <w:spacing w:line="360" w:lineRule="auto"/>
      <w:ind w:left="57"/>
    </w:pPr>
    <w:rPr>
      <w:rFonts w:ascii="黑体" w:eastAsia="黑体"/>
      <w:b/>
      <w:bCs/>
      <w:sz w:val="32"/>
    </w:rPr>
  </w:style>
  <w:style w:type="paragraph" w:customStyle="1" w:styleId="642">
    <w:name w:val="样式 段落编号 + (中文) 黑体 两端对齐 Char Char Char"/>
    <w:basedOn w:val="1"/>
    <w:qFormat/>
    <w:uiPriority w:val="0"/>
    <w:pPr>
      <w:adjustRightInd w:val="0"/>
      <w:snapToGrid w:val="0"/>
      <w:spacing w:before="60" w:after="240" w:line="400" w:lineRule="exact"/>
      <w:ind w:left="482"/>
      <w:jc w:val="left"/>
      <w:textAlignment w:val="baseline"/>
    </w:pPr>
    <w:rPr>
      <w:rFonts w:ascii="宋体" w:hAnsi="宋体" w:eastAsia="黑体" w:cs="宋体"/>
      <w:sz w:val="24"/>
    </w:rPr>
  </w:style>
  <w:style w:type="paragraph" w:customStyle="1" w:styleId="643">
    <w:name w:val="CM51"/>
    <w:basedOn w:val="127"/>
    <w:next w:val="127"/>
    <w:qFormat/>
    <w:uiPriority w:val="0"/>
    <w:rPr>
      <w:rFonts w:ascii="宋体" w:hAnsi="Calibri" w:eastAsia="宋体" w:cs="Times New Roman"/>
      <w:color w:val="auto"/>
    </w:rPr>
  </w:style>
  <w:style w:type="paragraph" w:customStyle="1" w:styleId="644">
    <w:name w:val="样式 宋体 小四 红色 行距: 1.5 倍行距1"/>
    <w:basedOn w:val="1"/>
    <w:qFormat/>
    <w:uiPriority w:val="0"/>
    <w:pPr>
      <w:numPr>
        <w:ilvl w:val="0"/>
        <w:numId w:val="11"/>
      </w:numPr>
      <w:tabs>
        <w:tab w:val="left" w:pos="1865"/>
      </w:tabs>
      <w:spacing w:line="360" w:lineRule="auto"/>
      <w:ind w:firstLine="0"/>
    </w:pPr>
    <w:rPr>
      <w:rFonts w:ascii="宋体" w:hAnsi="宋体" w:cs="宋体"/>
      <w:color w:val="FF0000"/>
      <w:sz w:val="24"/>
      <w:szCs w:val="20"/>
    </w:rPr>
  </w:style>
  <w:style w:type="paragraph" w:customStyle="1" w:styleId="645">
    <w:name w:val="CM103"/>
    <w:basedOn w:val="127"/>
    <w:next w:val="127"/>
    <w:qFormat/>
    <w:uiPriority w:val="0"/>
    <w:rPr>
      <w:rFonts w:ascii="宋体" w:hAnsi="Calibri" w:eastAsia="宋体" w:cs="Times New Roman"/>
      <w:color w:val="auto"/>
    </w:rPr>
  </w:style>
  <w:style w:type="paragraph" w:customStyle="1" w:styleId="64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47">
    <w:name w:val="样式 样式 样式 样式 第六行 + 左侧:  -2 字符 段前: 2 行 + 左侧:  -10 字符 段前: 2 行 + 左侧:..."/>
    <w:basedOn w:val="648"/>
    <w:qFormat/>
    <w:uiPriority w:val="0"/>
    <w:pPr>
      <w:ind w:left="-1000" w:leftChars="-1000"/>
    </w:pPr>
  </w:style>
  <w:style w:type="paragraph" w:customStyle="1" w:styleId="648">
    <w:name w:val="样式 样式 样式 第六行 + 左侧:  -2 字符 段前: 2 行 + 左侧:  -10 字符 段前: 2 行 + 左侧:  -..."/>
    <w:basedOn w:val="532"/>
    <w:qFormat/>
    <w:uiPriority w:val="0"/>
    <w:pPr>
      <w:ind w:left="-1200" w:leftChars="-1200"/>
    </w:pPr>
    <w:rPr>
      <w:szCs w:val="20"/>
    </w:rPr>
  </w:style>
  <w:style w:type="paragraph" w:customStyle="1" w:styleId="649">
    <w:name w:val="CM23"/>
    <w:basedOn w:val="127"/>
    <w:next w:val="127"/>
    <w:qFormat/>
    <w:uiPriority w:val="0"/>
    <w:pPr>
      <w:spacing w:line="400" w:lineRule="atLeast"/>
    </w:pPr>
    <w:rPr>
      <w:rFonts w:ascii="宋体" w:hAnsi="Calibri" w:eastAsia="宋体" w:cs="Times New Roman"/>
      <w:color w:val="auto"/>
    </w:rPr>
  </w:style>
  <w:style w:type="paragraph" w:customStyle="1" w:styleId="650">
    <w:name w:val="图"/>
    <w:basedOn w:val="1"/>
    <w:qFormat/>
    <w:uiPriority w:val="0"/>
    <w:pPr>
      <w:widowControl/>
      <w:tabs>
        <w:tab w:val="left" w:leader="dot" w:pos="7995"/>
      </w:tabs>
      <w:spacing w:before="240" w:after="120" w:line="314" w:lineRule="atLeast"/>
      <w:jc w:val="center"/>
    </w:pPr>
    <w:rPr>
      <w:rFonts w:ascii="Calibri" w:hAnsi="Calibri"/>
      <w:kern w:val="0"/>
      <w:sz w:val="22"/>
      <w:szCs w:val="20"/>
      <w:lang w:eastAsia="en-US"/>
    </w:rPr>
  </w:style>
  <w:style w:type="paragraph" w:customStyle="1" w:styleId="651">
    <w:name w:val="图题"/>
    <w:basedOn w:val="1"/>
    <w:qFormat/>
    <w:uiPriority w:val="0"/>
    <w:pPr>
      <w:widowControl/>
      <w:spacing w:before="60" w:after="120" w:line="314" w:lineRule="atLeast"/>
      <w:jc w:val="center"/>
      <w:outlineLvl w:val="5"/>
    </w:pPr>
    <w:rPr>
      <w:rFonts w:ascii="Calibri" w:hAnsi="Calibri"/>
      <w:kern w:val="0"/>
      <w:sz w:val="18"/>
      <w:szCs w:val="20"/>
      <w:lang w:eastAsia="en-US"/>
    </w:rPr>
  </w:style>
  <w:style w:type="paragraph" w:customStyle="1" w:styleId="652">
    <w:name w:val="表格内正文"/>
    <w:basedOn w:val="1"/>
    <w:qFormat/>
    <w:uiPriority w:val="0"/>
    <w:pPr>
      <w:widowControl/>
      <w:spacing w:after="200" w:line="440" w:lineRule="exact"/>
      <w:jc w:val="left"/>
    </w:pPr>
    <w:rPr>
      <w:rFonts w:ascii="Arial" w:hAnsi="Arial" w:cs="Arial"/>
      <w:kern w:val="0"/>
      <w:sz w:val="22"/>
      <w:szCs w:val="20"/>
      <w:lang w:eastAsia="en-US"/>
    </w:rPr>
  </w:style>
  <w:style w:type="paragraph" w:customStyle="1" w:styleId="653">
    <w:name w:val="自定义2.3"/>
    <w:basedOn w:val="410"/>
    <w:qFormat/>
    <w:uiPriority w:val="0"/>
  </w:style>
  <w:style w:type="paragraph" w:customStyle="1" w:styleId="654">
    <w:name w:val="Char1 Char Char Char Char Char Char1"/>
    <w:basedOn w:val="1"/>
    <w:qFormat/>
    <w:uiPriority w:val="0"/>
    <w:pPr>
      <w:widowControl/>
      <w:spacing w:after="200" w:line="276" w:lineRule="auto"/>
      <w:jc w:val="left"/>
    </w:pPr>
    <w:rPr>
      <w:rFonts w:ascii="Tahoma" w:hAnsi="Tahoma"/>
      <w:kern w:val="0"/>
      <w:sz w:val="22"/>
      <w:szCs w:val="21"/>
      <w:lang w:eastAsia="en-US"/>
    </w:rPr>
  </w:style>
  <w:style w:type="paragraph" w:customStyle="1" w:styleId="655">
    <w:name w:val="ml"/>
    <w:basedOn w:val="1"/>
    <w:qFormat/>
    <w:uiPriority w:val="0"/>
    <w:pPr>
      <w:widowControl/>
      <w:overflowPunct w:val="0"/>
      <w:topLinePunct/>
      <w:adjustRightInd w:val="0"/>
      <w:spacing w:before="120" w:after="200" w:line="360" w:lineRule="auto"/>
      <w:ind w:right="-7"/>
      <w:jc w:val="left"/>
    </w:pPr>
    <w:rPr>
      <w:rFonts w:ascii="楷体" w:hAnsi="Arial" w:eastAsia="楷体"/>
      <w:b/>
      <w:bCs/>
      <w:kern w:val="0"/>
      <w:sz w:val="24"/>
      <w:szCs w:val="20"/>
      <w:lang w:eastAsia="en-US"/>
    </w:rPr>
  </w:style>
  <w:style w:type="paragraph" w:customStyle="1" w:styleId="656">
    <w:name w:val="CM17"/>
    <w:basedOn w:val="127"/>
    <w:next w:val="127"/>
    <w:qFormat/>
    <w:uiPriority w:val="0"/>
    <w:rPr>
      <w:rFonts w:ascii="宋体" w:hAnsi="Calibri" w:eastAsia="宋体" w:cs="Times New Roman"/>
      <w:color w:val="auto"/>
    </w:rPr>
  </w:style>
  <w:style w:type="paragraph" w:customStyle="1" w:styleId="657">
    <w:name w:val="scc"/>
    <w:basedOn w:val="1"/>
    <w:qFormat/>
    <w:uiPriority w:val="0"/>
    <w:pPr>
      <w:adjustRightInd w:val="0"/>
      <w:spacing w:line="400" w:lineRule="atLeast"/>
      <w:jc w:val="center"/>
      <w:textAlignment w:val="baseline"/>
    </w:pPr>
    <w:rPr>
      <w:rFonts w:eastAsia="楷体_GB2312"/>
      <w:b/>
      <w:kern w:val="0"/>
      <w:sz w:val="24"/>
      <w:szCs w:val="20"/>
    </w:rPr>
  </w:style>
  <w:style w:type="paragraph" w:customStyle="1" w:styleId="658">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59">
    <w:name w:val="编号（1）"/>
    <w:basedOn w:val="1"/>
    <w:qFormat/>
    <w:uiPriority w:val="0"/>
    <w:pPr>
      <w:tabs>
        <w:tab w:val="left" w:pos="420"/>
      </w:tabs>
      <w:spacing w:line="360" w:lineRule="auto"/>
      <w:ind w:left="450" w:leftChars="200" w:hanging="200" w:hangingChars="200"/>
    </w:pPr>
    <w:rPr>
      <w:rFonts w:ascii="宋体"/>
      <w:szCs w:val="21"/>
    </w:rPr>
  </w:style>
  <w:style w:type="paragraph" w:customStyle="1" w:styleId="660">
    <w:name w:val="规范标题3"/>
    <w:basedOn w:val="4"/>
    <w:next w:val="1"/>
    <w:qFormat/>
    <w:uiPriority w:val="0"/>
    <w:pPr>
      <w:widowControl/>
      <w:tabs>
        <w:tab w:val="left" w:pos="3204"/>
      </w:tabs>
      <w:adjustRightInd w:val="0"/>
      <w:spacing w:before="0" w:after="0" w:line="314" w:lineRule="atLeast"/>
      <w:ind w:left="3204" w:hanging="144" w:firstLineChars="0"/>
      <w:jc w:val="left"/>
      <w:textAlignment w:val="baseline"/>
      <w:outlineLvl w:val="9"/>
    </w:pPr>
    <w:rPr>
      <w:rFonts w:ascii="Times" w:hAnsi="Times" w:eastAsia="黑体"/>
      <w:bCs w:val="0"/>
      <w:color w:val="4F81BD"/>
      <w:sz w:val="28"/>
      <w:szCs w:val="20"/>
      <w:lang w:eastAsia="en-US"/>
    </w:rPr>
  </w:style>
  <w:style w:type="paragraph" w:customStyle="1" w:styleId="661">
    <w:name w:val="样式 1 + 四号 左侧:  0 厘米 行距: 固定值 24 磅"/>
    <w:basedOn w:val="2"/>
    <w:qFormat/>
    <w:uiPriority w:val="0"/>
    <w:pPr>
      <w:keepNext w:val="0"/>
      <w:widowControl/>
      <w:adjustRightInd/>
      <w:spacing w:after="120" w:line="480" w:lineRule="exact"/>
      <w:ind w:firstLine="560" w:firstLineChars="200"/>
      <w:outlineLvl w:val="9"/>
    </w:pPr>
    <w:rPr>
      <w:rFonts w:ascii="Calibri" w:hAnsi="Calibri" w:eastAsia="宋体"/>
      <w:b w:val="0"/>
      <w:bCs w:val="0"/>
      <w:color w:val="auto"/>
      <w:kern w:val="2"/>
      <w:sz w:val="28"/>
      <w:szCs w:val="24"/>
      <w:lang w:eastAsia="en-US"/>
    </w:rPr>
  </w:style>
  <w:style w:type="paragraph" w:customStyle="1" w:styleId="662">
    <w:name w:val="CM2"/>
    <w:basedOn w:val="127"/>
    <w:next w:val="127"/>
    <w:qFormat/>
    <w:uiPriority w:val="0"/>
    <w:pPr>
      <w:spacing w:line="500" w:lineRule="atLeast"/>
    </w:pPr>
    <w:rPr>
      <w:rFonts w:ascii="宋体" w:hAnsi="Calibri" w:eastAsia="宋体" w:cs="Times New Roman"/>
      <w:color w:val="auto"/>
    </w:rPr>
  </w:style>
  <w:style w:type="paragraph" w:customStyle="1" w:styleId="663">
    <w:name w:val="1级标题（第一章）"/>
    <w:basedOn w:val="1"/>
    <w:qFormat/>
    <w:locked/>
    <w:uiPriority w:val="0"/>
    <w:pPr>
      <w:spacing w:beforeLines="50" w:afterLines="50"/>
      <w:jc w:val="center"/>
      <w:outlineLvl w:val="0"/>
    </w:pPr>
    <w:rPr>
      <w:rFonts w:ascii="黑体" w:hAnsi="宋体" w:eastAsia="黑体"/>
      <w:sz w:val="32"/>
      <w:szCs w:val="32"/>
    </w:rPr>
  </w:style>
  <w:style w:type="paragraph" w:customStyle="1" w:styleId="664">
    <w:name w:val="xl135"/>
    <w:basedOn w:val="1"/>
    <w:qFormat/>
    <w:uiPriority w:val="99"/>
    <w:pPr>
      <w:widowControl/>
      <w:pBdr>
        <w:top w:val="single" w:color="auto" w:sz="8" w:space="0"/>
        <w:bottom w:val="single" w:color="auto" w:sz="4" w:space="0"/>
        <w:right w:val="single" w:color="auto" w:sz="8"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665">
    <w:name w:val="CM3"/>
    <w:basedOn w:val="127"/>
    <w:next w:val="127"/>
    <w:qFormat/>
    <w:uiPriority w:val="0"/>
    <w:pPr>
      <w:spacing w:line="433" w:lineRule="atLeast"/>
    </w:pPr>
    <w:rPr>
      <w:rFonts w:ascii="宋体" w:hAnsi="Calibri" w:eastAsia="宋体" w:cs="Times New Roman"/>
      <w:color w:val="auto"/>
    </w:rPr>
  </w:style>
  <w:style w:type="paragraph" w:customStyle="1" w:styleId="666">
    <w:name w:val="+标题1"/>
    <w:basedOn w:val="2"/>
    <w:qFormat/>
    <w:uiPriority w:val="0"/>
    <w:pPr>
      <w:keepLines/>
      <w:pageBreakBefore/>
      <w:tabs>
        <w:tab w:val="left" w:pos="927"/>
      </w:tabs>
      <w:autoSpaceDE/>
      <w:autoSpaceDN/>
      <w:adjustRightInd/>
      <w:spacing w:before="240" w:after="240" w:line="360" w:lineRule="auto"/>
      <w:ind w:firstLine="567"/>
      <w:jc w:val="center"/>
    </w:pPr>
    <w:rPr>
      <w:rFonts w:ascii="Times New Roman" w:eastAsia="黑体"/>
      <w:color w:val="auto"/>
      <w:kern w:val="32"/>
      <w:sz w:val="32"/>
      <w:szCs w:val="32"/>
    </w:rPr>
  </w:style>
  <w:style w:type="paragraph" w:customStyle="1" w:styleId="667">
    <w:name w:val="第一行"/>
    <w:basedOn w:val="1"/>
    <w:qFormat/>
    <w:uiPriority w:val="0"/>
    <w:pPr>
      <w:spacing w:beforeLines="100" w:line="360" w:lineRule="auto"/>
      <w:jc w:val="center"/>
    </w:pPr>
    <w:rPr>
      <w:rFonts w:ascii="宋体"/>
      <w:b/>
      <w:bCs/>
      <w:sz w:val="32"/>
      <w:szCs w:val="32"/>
    </w:rPr>
  </w:style>
  <w:style w:type="paragraph" w:customStyle="1" w:styleId="668">
    <w:name w:val="目标"/>
    <w:basedOn w:val="23"/>
    <w:qFormat/>
    <w:uiPriority w:val="99"/>
    <w:pPr>
      <w:widowControl/>
      <w:overflowPunct w:val="0"/>
      <w:autoSpaceDE w:val="0"/>
      <w:autoSpaceDN w:val="0"/>
      <w:adjustRightInd w:val="0"/>
      <w:spacing w:before="240" w:line="260" w:lineRule="exact"/>
      <w:ind w:left="-1440"/>
      <w:jc w:val="left"/>
      <w:textAlignment w:val="baseline"/>
    </w:pPr>
    <w:rPr>
      <w:i/>
      <w:szCs w:val="20"/>
    </w:rPr>
  </w:style>
  <w:style w:type="paragraph" w:customStyle="1" w:styleId="669">
    <w:name w:val="Char11"/>
    <w:basedOn w:val="1"/>
    <w:qFormat/>
    <w:uiPriority w:val="0"/>
    <w:rPr>
      <w:rFonts w:ascii="仿宋_GB2312" w:eastAsia="仿宋_GB2312"/>
      <w:b/>
      <w:sz w:val="32"/>
      <w:szCs w:val="32"/>
    </w:rPr>
  </w:style>
  <w:style w:type="paragraph" w:customStyle="1" w:styleId="670">
    <w:name w:val="CM108"/>
    <w:basedOn w:val="127"/>
    <w:next w:val="127"/>
    <w:qFormat/>
    <w:uiPriority w:val="0"/>
    <w:rPr>
      <w:rFonts w:ascii="宋体" w:hAnsi="Calibri" w:eastAsia="宋体" w:cs="Times New Roman"/>
      <w:color w:val="auto"/>
    </w:rPr>
  </w:style>
  <w:style w:type="paragraph" w:customStyle="1" w:styleId="671">
    <w:name w:val="编号1."/>
    <w:basedOn w:val="1"/>
    <w:qFormat/>
    <w:uiPriority w:val="0"/>
    <w:pPr>
      <w:numPr>
        <w:ilvl w:val="0"/>
        <w:numId w:val="12"/>
      </w:numPr>
      <w:tabs>
        <w:tab w:val="left" w:pos="735"/>
        <w:tab w:val="left" w:pos="780"/>
      </w:tabs>
      <w:ind w:firstLine="0"/>
    </w:pPr>
  </w:style>
  <w:style w:type="paragraph" w:customStyle="1" w:styleId="672">
    <w:name w:val="CM14"/>
    <w:basedOn w:val="127"/>
    <w:next w:val="127"/>
    <w:qFormat/>
    <w:uiPriority w:val="0"/>
    <w:pPr>
      <w:spacing w:line="400" w:lineRule="atLeast"/>
    </w:pPr>
    <w:rPr>
      <w:rFonts w:ascii="宋体" w:hAnsi="Calibri" w:eastAsia="宋体" w:cs="Times New Roman"/>
      <w:color w:val="auto"/>
    </w:rPr>
  </w:style>
  <w:style w:type="paragraph" w:customStyle="1" w:styleId="673">
    <w:name w:val="CM4"/>
    <w:basedOn w:val="127"/>
    <w:next w:val="127"/>
    <w:qFormat/>
    <w:uiPriority w:val="0"/>
    <w:pPr>
      <w:spacing w:line="433" w:lineRule="atLeast"/>
    </w:pPr>
    <w:rPr>
      <w:rFonts w:ascii="宋体" w:hAnsi="Calibri" w:eastAsia="宋体" w:cs="Times New Roman"/>
      <w:color w:val="auto"/>
    </w:rPr>
  </w:style>
  <w:style w:type="paragraph" w:customStyle="1" w:styleId="674">
    <w:name w:val="_Style 29"/>
    <w:basedOn w:val="1"/>
    <w:next w:val="23"/>
    <w:qFormat/>
    <w:uiPriority w:val="0"/>
    <w:pPr>
      <w:jc w:val="center"/>
    </w:pPr>
    <w:rPr>
      <w:b/>
      <w:bCs/>
      <w:sz w:val="48"/>
    </w:rPr>
  </w:style>
  <w:style w:type="paragraph" w:customStyle="1" w:styleId="675">
    <w:name w:val="CM106"/>
    <w:basedOn w:val="127"/>
    <w:next w:val="127"/>
    <w:qFormat/>
    <w:uiPriority w:val="0"/>
    <w:rPr>
      <w:rFonts w:ascii="宋体" w:hAnsi="Calibri" w:eastAsia="宋体" w:cs="Times New Roman"/>
      <w:color w:val="auto"/>
    </w:rPr>
  </w:style>
  <w:style w:type="paragraph" w:customStyle="1" w:styleId="676">
    <w:name w:val="默认段落字体 Para Char Char Char Char"/>
    <w:basedOn w:val="1"/>
    <w:qFormat/>
    <w:uiPriority w:val="0"/>
  </w:style>
  <w:style w:type="paragraph" w:customStyle="1" w:styleId="677">
    <w:name w:val="CM43"/>
    <w:basedOn w:val="127"/>
    <w:next w:val="127"/>
    <w:qFormat/>
    <w:uiPriority w:val="0"/>
    <w:pPr>
      <w:spacing w:line="440" w:lineRule="atLeast"/>
    </w:pPr>
    <w:rPr>
      <w:rFonts w:ascii="宋体" w:hAnsi="Calibri" w:eastAsia="宋体" w:cs="Times New Roman"/>
      <w:color w:val="auto"/>
    </w:rPr>
  </w:style>
  <w:style w:type="paragraph" w:customStyle="1" w:styleId="678">
    <w:name w:val="列表框2"/>
    <w:basedOn w:val="517"/>
    <w:qFormat/>
    <w:uiPriority w:val="0"/>
    <w:pPr>
      <w:numPr>
        <w:ilvl w:val="0"/>
        <w:numId w:val="13"/>
      </w:numPr>
      <w:tabs>
        <w:tab w:val="clear" w:pos="2018"/>
        <w:tab w:val="clear" w:pos="2086"/>
        <w:tab w:val="clear" w:pos="2325"/>
      </w:tabs>
      <w:ind w:left="0" w:leftChars="0" w:right="-12" w:firstLine="0" w:firstLineChars="0"/>
    </w:pPr>
  </w:style>
  <w:style w:type="paragraph" w:customStyle="1" w:styleId="679">
    <w:name w:val="节标题"/>
    <w:basedOn w:val="1"/>
    <w:qFormat/>
    <w:uiPriority w:val="99"/>
    <w:pPr>
      <w:keepNext/>
      <w:keepLines/>
      <w:widowControl/>
      <w:overflowPunct w:val="0"/>
      <w:autoSpaceDE w:val="0"/>
      <w:autoSpaceDN w:val="0"/>
      <w:adjustRightInd w:val="0"/>
      <w:spacing w:before="260" w:after="120"/>
      <w:ind w:left="-2160"/>
      <w:jc w:val="left"/>
      <w:textAlignment w:val="baseline"/>
    </w:pPr>
    <w:rPr>
      <w:b/>
      <w:spacing w:val="70"/>
      <w:kern w:val="0"/>
      <w:sz w:val="24"/>
      <w:szCs w:val="20"/>
    </w:rPr>
  </w:style>
  <w:style w:type="paragraph" w:customStyle="1" w:styleId="680">
    <w:name w:val="修订3"/>
    <w:qFormat/>
    <w:uiPriority w:val="0"/>
    <w:pPr>
      <w:spacing w:after="200" w:line="276" w:lineRule="auto"/>
    </w:pPr>
    <w:rPr>
      <w:rFonts w:ascii="Calibri" w:hAnsi="Calibri" w:eastAsia="宋体" w:cs="Times New Roman"/>
      <w:kern w:val="2"/>
      <w:sz w:val="21"/>
      <w:szCs w:val="24"/>
      <w:lang w:val="en-US" w:eastAsia="en-US" w:bidi="en-US"/>
    </w:rPr>
  </w:style>
  <w:style w:type="paragraph" w:customStyle="1" w:styleId="681">
    <w:name w:val="层"/>
    <w:basedOn w:val="1"/>
    <w:qFormat/>
    <w:uiPriority w:val="0"/>
    <w:pPr>
      <w:widowControl/>
      <w:adjustRightInd w:val="0"/>
      <w:spacing w:after="200" w:line="314" w:lineRule="atLeast"/>
      <w:ind w:firstLine="425"/>
      <w:jc w:val="left"/>
      <w:textAlignment w:val="baseline"/>
      <w:outlineLvl w:val="5"/>
    </w:pPr>
    <w:rPr>
      <w:rFonts w:ascii="Calibri" w:hAnsi="Calibri" w:eastAsia="黑体"/>
      <w:kern w:val="0"/>
      <w:sz w:val="22"/>
      <w:szCs w:val="20"/>
      <w:lang w:eastAsia="en-US"/>
    </w:rPr>
  </w:style>
  <w:style w:type="paragraph" w:customStyle="1" w:styleId="682">
    <w:name w:val="样式 标题 2 + 左侧:  0 厘米 首行缩进:  0 厘米"/>
    <w:basedOn w:val="3"/>
    <w:qFormat/>
    <w:uiPriority w:val="0"/>
    <w:pPr>
      <w:tabs>
        <w:tab w:val="left" w:pos="600"/>
      </w:tabs>
      <w:adjustRightInd w:val="0"/>
      <w:snapToGrid w:val="0"/>
      <w:spacing w:before="240" w:after="160" w:line="240" w:lineRule="auto"/>
      <w:ind w:left="707" w:hanging="707"/>
      <w:jc w:val="left"/>
      <w:textAlignment w:val="baseline"/>
    </w:pPr>
    <w:rPr>
      <w:rFonts w:ascii="宋体" w:hAnsi="宋体" w:eastAsia="黑体" w:cs="宋体"/>
      <w:bCs w:val="0"/>
      <w:spacing w:val="4"/>
      <w:sz w:val="28"/>
      <w:szCs w:val="28"/>
    </w:rPr>
  </w:style>
  <w:style w:type="paragraph" w:customStyle="1" w:styleId="683">
    <w:name w:val="（叙述性）内文"/>
    <w:basedOn w:val="1"/>
    <w:qFormat/>
    <w:uiPriority w:val="0"/>
    <w:pPr>
      <w:autoSpaceDE w:val="0"/>
      <w:autoSpaceDN w:val="0"/>
      <w:adjustRightInd w:val="0"/>
      <w:spacing w:after="45" w:line="360" w:lineRule="atLeast"/>
      <w:ind w:firstLine="397"/>
      <w:textAlignment w:val="center"/>
    </w:pPr>
    <w:rPr>
      <w:rFonts w:ascii="方正宋一简体" w:eastAsia="方正宋一简体"/>
      <w:color w:val="000000"/>
      <w:kern w:val="0"/>
      <w:sz w:val="19"/>
      <w:szCs w:val="19"/>
      <w:lang w:val="zh-CN"/>
    </w:rPr>
  </w:style>
  <w:style w:type="paragraph" w:customStyle="1" w:styleId="684">
    <w:name w:val="CM109"/>
    <w:basedOn w:val="127"/>
    <w:next w:val="127"/>
    <w:qFormat/>
    <w:uiPriority w:val="0"/>
    <w:rPr>
      <w:rFonts w:ascii="宋体" w:hAnsi="Calibri" w:eastAsia="宋体" w:cs="Times New Roman"/>
      <w:color w:val="auto"/>
    </w:rPr>
  </w:style>
  <w:style w:type="paragraph" w:customStyle="1" w:styleId="685">
    <w:name w:val="目录"/>
    <w:basedOn w:val="1"/>
    <w:qFormat/>
    <w:uiPriority w:val="0"/>
    <w:pPr>
      <w:widowControl/>
      <w:jc w:val="center"/>
    </w:pPr>
    <w:rPr>
      <w:rFonts w:hint="eastAsia" w:ascii="宋体"/>
      <w:b/>
      <w:kern w:val="0"/>
      <w:sz w:val="36"/>
      <w:szCs w:val="20"/>
    </w:rPr>
  </w:style>
  <w:style w:type="paragraph" w:customStyle="1" w:styleId="686">
    <w:name w:val="李丹江标题"/>
    <w:basedOn w:val="1"/>
    <w:qFormat/>
    <w:uiPriority w:val="0"/>
    <w:rPr>
      <w:rFonts w:ascii="仿宋_GB2312" w:eastAsia="仿宋_GB2312"/>
      <w:b/>
      <w:spacing w:val="-20"/>
      <w:sz w:val="28"/>
      <w:szCs w:val="20"/>
    </w:rPr>
  </w:style>
  <w:style w:type="paragraph" w:customStyle="1" w:styleId="687">
    <w:name w:val="Char Char Char Char11"/>
    <w:basedOn w:val="1"/>
    <w:qFormat/>
    <w:uiPriority w:val="0"/>
    <w:pPr>
      <w:spacing w:line="240" w:lineRule="atLeast"/>
      <w:ind w:left="420" w:firstLine="420"/>
    </w:pPr>
    <w:rPr>
      <w:kern w:val="0"/>
      <w:szCs w:val="21"/>
    </w:rPr>
  </w:style>
  <w:style w:type="paragraph" w:customStyle="1" w:styleId="688">
    <w:name w:val="样式 样式 样式 第四行 + 左侧:  -4 字符 段前: 2 行 + 左侧:  -3 字符 段前: 2 行 + 左侧:  -2..."/>
    <w:basedOn w:val="367"/>
    <w:qFormat/>
    <w:uiPriority w:val="0"/>
    <w:pPr>
      <w:ind w:left="0" w:leftChars="0"/>
    </w:pPr>
  </w:style>
  <w:style w:type="paragraph" w:customStyle="1" w:styleId="689">
    <w:name w:val="样式7"/>
    <w:basedOn w:val="456"/>
    <w:qFormat/>
    <w:uiPriority w:val="0"/>
  </w:style>
  <w:style w:type="paragraph" w:customStyle="1" w:styleId="690">
    <w:name w:val="CM62"/>
    <w:basedOn w:val="127"/>
    <w:next w:val="127"/>
    <w:qFormat/>
    <w:uiPriority w:val="0"/>
    <w:pPr>
      <w:spacing w:line="468" w:lineRule="atLeast"/>
    </w:pPr>
    <w:rPr>
      <w:rFonts w:ascii="宋体" w:hAnsi="Calibri" w:eastAsia="宋体" w:cs="Times New Roman"/>
      <w:color w:val="auto"/>
    </w:rPr>
  </w:style>
  <w:style w:type="paragraph" w:customStyle="1" w:styleId="691">
    <w:name w:val="Char Char Char Char Char Char Char1"/>
    <w:basedOn w:val="1"/>
    <w:qFormat/>
    <w:uiPriority w:val="0"/>
    <w:pPr>
      <w:spacing w:line="240" w:lineRule="atLeast"/>
      <w:ind w:left="420" w:firstLine="420"/>
    </w:pPr>
    <w:rPr>
      <w:kern w:val="0"/>
      <w:szCs w:val="21"/>
    </w:rPr>
  </w:style>
  <w:style w:type="paragraph" w:customStyle="1" w:styleId="692">
    <w:name w:val="Picture"/>
    <w:basedOn w:val="1"/>
    <w:qFormat/>
    <w:uiPriority w:val="0"/>
    <w:pPr>
      <w:widowControl/>
      <w:spacing w:after="200" w:line="360" w:lineRule="auto"/>
      <w:jc w:val="center"/>
    </w:pPr>
    <w:rPr>
      <w:rFonts w:ascii="Calibri" w:hAnsi="Calibri"/>
      <w:kern w:val="0"/>
      <w:sz w:val="22"/>
      <w:szCs w:val="21"/>
      <w:lang w:eastAsia="en-US"/>
    </w:rPr>
  </w:style>
  <w:style w:type="paragraph" w:customStyle="1" w:styleId="693">
    <w:name w:val="样式 样式 样式 标题 3 + 首行缩进:  2 字符 + 首行缩进:  2 字符 + 首行缩进:  2 字符 Char"/>
    <w:basedOn w:val="1"/>
    <w:qFormat/>
    <w:uiPriority w:val="0"/>
    <w:pPr>
      <w:keepNext/>
      <w:keepLines/>
      <w:tabs>
        <w:tab w:val="left" w:pos="720"/>
        <w:tab w:val="left" w:pos="900"/>
        <w:tab w:val="left" w:pos="1350"/>
      </w:tabs>
      <w:adjustRightInd w:val="0"/>
      <w:snapToGrid w:val="0"/>
      <w:spacing w:before="120" w:after="120" w:line="500" w:lineRule="exact"/>
      <w:ind w:left="1189" w:hanging="1189"/>
      <w:jc w:val="left"/>
      <w:textAlignment w:val="baseline"/>
      <w:outlineLvl w:val="2"/>
    </w:pPr>
    <w:rPr>
      <w:rFonts w:ascii="黑体" w:hAnsi="宋体" w:eastAsia="黑体" w:cs="宋体"/>
      <w:kern w:val="0"/>
      <w:sz w:val="24"/>
    </w:rPr>
  </w:style>
  <w:style w:type="paragraph" w:customStyle="1" w:styleId="694">
    <w:name w:val="CM63"/>
    <w:basedOn w:val="127"/>
    <w:next w:val="127"/>
    <w:qFormat/>
    <w:uiPriority w:val="0"/>
    <w:pPr>
      <w:spacing w:line="468" w:lineRule="atLeast"/>
    </w:pPr>
    <w:rPr>
      <w:rFonts w:ascii="宋体" w:hAnsi="Calibri" w:eastAsia="宋体" w:cs="Times New Roman"/>
      <w:color w:val="auto"/>
    </w:rPr>
  </w:style>
  <w:style w:type="paragraph" w:customStyle="1" w:styleId="695">
    <w:name w:val="Char Char Char2"/>
    <w:basedOn w:val="1"/>
    <w:qFormat/>
    <w:uiPriority w:val="0"/>
    <w:rPr>
      <w:rFonts w:ascii="Tahoma" w:hAnsi="Tahoma"/>
      <w:sz w:val="24"/>
      <w:szCs w:val="20"/>
    </w:rPr>
  </w:style>
  <w:style w:type="paragraph" w:customStyle="1" w:styleId="696">
    <w:name w:val="CM105"/>
    <w:basedOn w:val="127"/>
    <w:next w:val="127"/>
    <w:qFormat/>
    <w:uiPriority w:val="0"/>
    <w:rPr>
      <w:rFonts w:ascii="宋体" w:hAnsi="Calibri" w:eastAsia="宋体" w:cs="Times New Roman"/>
      <w:color w:val="auto"/>
    </w:rPr>
  </w:style>
  <w:style w:type="paragraph" w:customStyle="1" w:styleId="697">
    <w:name w:val="CM117"/>
    <w:basedOn w:val="127"/>
    <w:next w:val="127"/>
    <w:qFormat/>
    <w:uiPriority w:val="0"/>
    <w:rPr>
      <w:rFonts w:ascii="宋体" w:hAnsi="Calibri" w:eastAsia="宋体" w:cs="Times New Roman"/>
      <w:color w:val="auto"/>
    </w:rPr>
  </w:style>
  <w:style w:type="paragraph" w:customStyle="1" w:styleId="698">
    <w:name w:val="样式 首行缩进:  2 字符 Char"/>
    <w:basedOn w:val="1"/>
    <w:qFormat/>
    <w:uiPriority w:val="0"/>
    <w:pPr>
      <w:adjustRightInd w:val="0"/>
      <w:snapToGrid w:val="0"/>
      <w:spacing w:line="360" w:lineRule="auto"/>
      <w:ind w:right="40" w:rightChars="19"/>
      <w:jc w:val="center"/>
    </w:pPr>
    <w:rPr>
      <w:rFonts w:ascii="宋体" w:hAnsi="宋体" w:cs="宋体"/>
      <w:color w:val="000000"/>
      <w:kern w:val="28"/>
      <w:sz w:val="24"/>
    </w:rPr>
  </w:style>
  <w:style w:type="paragraph" w:customStyle="1" w:styleId="699">
    <w:name w:val="CM45"/>
    <w:basedOn w:val="127"/>
    <w:next w:val="127"/>
    <w:qFormat/>
    <w:uiPriority w:val="0"/>
    <w:pPr>
      <w:spacing w:line="443" w:lineRule="atLeast"/>
    </w:pPr>
    <w:rPr>
      <w:rFonts w:ascii="宋体" w:hAnsi="Calibri" w:eastAsia="宋体" w:cs="Times New Roman"/>
      <w:color w:val="auto"/>
    </w:rPr>
  </w:style>
  <w:style w:type="paragraph" w:customStyle="1" w:styleId="700">
    <w:name w:val="CM91"/>
    <w:basedOn w:val="127"/>
    <w:next w:val="127"/>
    <w:qFormat/>
    <w:uiPriority w:val="0"/>
    <w:pPr>
      <w:spacing w:line="443" w:lineRule="atLeast"/>
    </w:pPr>
    <w:rPr>
      <w:rFonts w:ascii="宋体" w:hAnsi="Calibri" w:eastAsia="宋体" w:cs="Times New Roman"/>
      <w:color w:val="auto"/>
    </w:rPr>
  </w:style>
  <w:style w:type="paragraph" w:customStyle="1" w:styleId="701">
    <w:name w:val="CM36"/>
    <w:basedOn w:val="127"/>
    <w:next w:val="127"/>
    <w:qFormat/>
    <w:uiPriority w:val="0"/>
    <w:pPr>
      <w:spacing w:line="400" w:lineRule="atLeast"/>
    </w:pPr>
    <w:rPr>
      <w:rFonts w:ascii="宋体" w:hAnsi="Calibri" w:eastAsia="宋体" w:cs="Times New Roman"/>
      <w:color w:val="auto"/>
    </w:rPr>
  </w:style>
  <w:style w:type="paragraph" w:customStyle="1" w:styleId="702">
    <w:name w:val="CM15"/>
    <w:basedOn w:val="127"/>
    <w:next w:val="127"/>
    <w:qFormat/>
    <w:uiPriority w:val="0"/>
    <w:pPr>
      <w:spacing w:line="400" w:lineRule="atLeast"/>
    </w:pPr>
    <w:rPr>
      <w:rFonts w:ascii="宋体" w:hAnsi="Calibri" w:eastAsia="宋体" w:cs="Times New Roman"/>
      <w:color w:val="auto"/>
    </w:rPr>
  </w:style>
  <w:style w:type="paragraph" w:customStyle="1" w:styleId="703">
    <w:name w:val="样式5"/>
    <w:basedOn w:val="539"/>
    <w:qFormat/>
    <w:uiPriority w:val="0"/>
    <w:pPr>
      <w:keepNext w:val="0"/>
      <w:keepLines w:val="0"/>
      <w:widowControl w:val="0"/>
      <w:tabs>
        <w:tab w:val="clear" w:pos="1260"/>
      </w:tabs>
      <w:spacing w:beforeLines="80" w:afterLines="60" w:line="500" w:lineRule="exact"/>
      <w:ind w:left="0" w:firstLine="0"/>
      <w:jc w:val="center"/>
      <w:outlineLvl w:val="9"/>
    </w:pPr>
    <w:rPr>
      <w:rFonts w:ascii="黑体" w:hAnsi="Times New Roman" w:eastAsia="黑体"/>
      <w:b w:val="0"/>
      <w:bCs w:val="0"/>
      <w:kern w:val="2"/>
      <w:sz w:val="32"/>
      <w:szCs w:val="32"/>
      <w:lang w:eastAsia="zh-CN"/>
    </w:rPr>
  </w:style>
  <w:style w:type="paragraph" w:customStyle="1" w:styleId="704">
    <w:name w:val="标准"/>
    <w:basedOn w:val="1"/>
    <w:qFormat/>
    <w:uiPriority w:val="0"/>
    <w:pPr>
      <w:widowControl/>
      <w:adjustRightInd w:val="0"/>
      <w:spacing w:after="200" w:line="277" w:lineRule="atLeast"/>
      <w:ind w:firstLine="425"/>
      <w:jc w:val="left"/>
      <w:textAlignment w:val="baseline"/>
    </w:pPr>
    <w:rPr>
      <w:rFonts w:ascii="Calibri" w:hAnsi="Calibri"/>
      <w:kern w:val="0"/>
      <w:sz w:val="24"/>
      <w:szCs w:val="20"/>
      <w:lang w:eastAsia="en-US"/>
    </w:rPr>
  </w:style>
  <w:style w:type="paragraph" w:customStyle="1" w:styleId="705">
    <w:name w:val="e11"/>
    <w:basedOn w:val="1"/>
    <w:qFormat/>
    <w:uiPriority w:val="0"/>
    <w:pPr>
      <w:widowControl/>
      <w:spacing w:before="100" w:beforeAutospacing="1" w:after="100" w:afterAutospacing="1" w:line="320" w:lineRule="atLeast"/>
      <w:jc w:val="left"/>
    </w:pPr>
    <w:rPr>
      <w:rFonts w:ascii="Arial" w:hAnsi="Arial" w:cs="Arial"/>
      <w:kern w:val="0"/>
      <w:sz w:val="18"/>
      <w:szCs w:val="18"/>
      <w:lang w:eastAsia="en-US"/>
    </w:rPr>
  </w:style>
  <w:style w:type="paragraph" w:customStyle="1" w:styleId="706">
    <w:name w:val="字元 字元1"/>
    <w:basedOn w:val="1"/>
    <w:qFormat/>
    <w:uiPriority w:val="0"/>
    <w:pPr>
      <w:spacing w:line="360" w:lineRule="auto"/>
      <w:ind w:firstLine="200" w:firstLineChars="200"/>
    </w:pPr>
    <w:rPr>
      <w:rFonts w:ascii="宋体" w:hAnsi="宋体" w:cs="宋体"/>
      <w:sz w:val="24"/>
    </w:rPr>
  </w:style>
  <w:style w:type="paragraph" w:customStyle="1" w:styleId="707">
    <w:name w:val="CM41"/>
    <w:basedOn w:val="127"/>
    <w:next w:val="127"/>
    <w:qFormat/>
    <w:uiPriority w:val="0"/>
    <w:pPr>
      <w:spacing w:line="400" w:lineRule="atLeast"/>
    </w:pPr>
    <w:rPr>
      <w:rFonts w:ascii="宋体" w:hAnsi="Calibri" w:eastAsia="宋体" w:cs="Times New Roman"/>
      <w:color w:val="auto"/>
    </w:rPr>
  </w:style>
  <w:style w:type="paragraph" w:customStyle="1" w:styleId="708">
    <w:name w:val="CM113"/>
    <w:basedOn w:val="127"/>
    <w:next w:val="127"/>
    <w:qFormat/>
    <w:uiPriority w:val="0"/>
    <w:rPr>
      <w:rFonts w:ascii="宋体" w:hAnsi="Calibri" w:eastAsia="宋体" w:cs="Times New Roman"/>
      <w:color w:val="auto"/>
    </w:rPr>
  </w:style>
  <w:style w:type="paragraph" w:customStyle="1" w:styleId="709">
    <w:name w:val="CM86"/>
    <w:basedOn w:val="127"/>
    <w:next w:val="127"/>
    <w:qFormat/>
    <w:uiPriority w:val="0"/>
    <w:pPr>
      <w:spacing w:line="440" w:lineRule="atLeast"/>
    </w:pPr>
    <w:rPr>
      <w:rFonts w:ascii="宋体" w:hAnsi="Calibri" w:eastAsia="宋体" w:cs="Times New Roman"/>
      <w:color w:val="auto"/>
    </w:rPr>
  </w:style>
  <w:style w:type="paragraph" w:customStyle="1" w:styleId="710">
    <w:name w:val="招标文件》"/>
    <w:basedOn w:val="438"/>
    <w:qFormat/>
    <w:uiPriority w:val="0"/>
    <w:pPr>
      <w:numPr>
        <w:ilvl w:val="0"/>
        <w:numId w:val="14"/>
      </w:numPr>
      <w:ind w:left="0" w:firstLine="200"/>
    </w:pPr>
  </w:style>
  <w:style w:type="paragraph" w:customStyle="1" w:styleId="711">
    <w:name w:val="CM114"/>
    <w:basedOn w:val="127"/>
    <w:next w:val="127"/>
    <w:qFormat/>
    <w:uiPriority w:val="0"/>
    <w:rPr>
      <w:rFonts w:ascii="宋体" w:hAnsi="Calibri" w:eastAsia="宋体" w:cs="Times New Roman"/>
      <w:color w:val="auto"/>
    </w:rPr>
  </w:style>
  <w:style w:type="paragraph" w:customStyle="1" w:styleId="712">
    <w:name w:val="CM56"/>
    <w:basedOn w:val="127"/>
    <w:next w:val="127"/>
    <w:qFormat/>
    <w:uiPriority w:val="0"/>
    <w:pPr>
      <w:spacing w:line="468" w:lineRule="atLeast"/>
    </w:pPr>
    <w:rPr>
      <w:rFonts w:ascii="宋体" w:hAnsi="Calibri" w:eastAsia="宋体" w:cs="Times New Roman"/>
      <w:color w:val="auto"/>
    </w:rPr>
  </w:style>
  <w:style w:type="paragraph" w:customStyle="1" w:styleId="713">
    <w:name w:val="CM112"/>
    <w:basedOn w:val="127"/>
    <w:next w:val="127"/>
    <w:qFormat/>
    <w:uiPriority w:val="0"/>
    <w:rPr>
      <w:rFonts w:ascii="宋体" w:hAnsi="Calibri" w:eastAsia="宋体" w:cs="Times New Roman"/>
      <w:color w:val="auto"/>
    </w:rPr>
  </w:style>
  <w:style w:type="paragraph" w:customStyle="1" w:styleId="714">
    <w:name w:val="Char Char1 Char Char"/>
    <w:basedOn w:val="1"/>
    <w:qFormat/>
    <w:uiPriority w:val="0"/>
    <w:pPr>
      <w:tabs>
        <w:tab w:val="left" w:pos="360"/>
      </w:tabs>
    </w:pPr>
    <w:rPr>
      <w:szCs w:val="20"/>
    </w:rPr>
  </w:style>
  <w:style w:type="paragraph" w:customStyle="1" w:styleId="715">
    <w:name w:val="CM126"/>
    <w:basedOn w:val="127"/>
    <w:next w:val="127"/>
    <w:qFormat/>
    <w:uiPriority w:val="0"/>
    <w:rPr>
      <w:rFonts w:ascii="宋体" w:hAnsi="Calibri" w:eastAsia="宋体" w:cs="Times New Roman"/>
      <w:color w:val="auto"/>
    </w:rPr>
  </w:style>
  <w:style w:type="paragraph" w:customStyle="1" w:styleId="716">
    <w:name w:val="第二行"/>
    <w:basedOn w:val="1"/>
    <w:qFormat/>
    <w:uiPriority w:val="0"/>
    <w:pPr>
      <w:spacing w:beforeLines="100" w:line="360" w:lineRule="auto"/>
      <w:jc w:val="center"/>
    </w:pPr>
    <w:rPr>
      <w:rFonts w:ascii="宋体"/>
      <w:b/>
      <w:bCs/>
      <w:sz w:val="36"/>
      <w:szCs w:val="36"/>
    </w:rPr>
  </w:style>
  <w:style w:type="paragraph" w:customStyle="1" w:styleId="717">
    <w:name w:val="1)"/>
    <w:basedOn w:val="1"/>
    <w:qFormat/>
    <w:uiPriority w:val="0"/>
    <w:pPr>
      <w:tabs>
        <w:tab w:val="left" w:pos="120"/>
      </w:tabs>
      <w:spacing w:line="360" w:lineRule="auto"/>
      <w:ind w:left="400" w:leftChars="100" w:hanging="300" w:hangingChars="300"/>
    </w:pPr>
    <w:rPr>
      <w:sz w:val="24"/>
    </w:rPr>
  </w:style>
  <w:style w:type="paragraph" w:customStyle="1" w:styleId="718">
    <w:name w:val="横表格"/>
    <w:basedOn w:val="475"/>
    <w:qFormat/>
    <w:uiPriority w:val="0"/>
    <w:pPr>
      <w:spacing w:beforeLines="0" w:line="240" w:lineRule="auto"/>
    </w:pPr>
    <w:rPr>
      <w:b w:val="0"/>
    </w:rPr>
  </w:style>
  <w:style w:type="paragraph" w:customStyle="1" w:styleId="719">
    <w:name w:val="样式 正文文本缩进 + 首行缩进:  2 字符"/>
    <w:basedOn w:val="24"/>
    <w:qFormat/>
    <w:uiPriority w:val="0"/>
    <w:pPr>
      <w:tabs>
        <w:tab w:val="left" w:pos="9016"/>
      </w:tabs>
      <w:spacing w:line="500" w:lineRule="exact"/>
      <w:ind w:firstLine="480"/>
    </w:pPr>
    <w:rPr>
      <w:rFonts w:ascii="Times New Roman" w:eastAsia="宋体" w:cs="宋体"/>
    </w:rPr>
  </w:style>
  <w:style w:type="paragraph" w:customStyle="1" w:styleId="720">
    <w:name w:val="CM18"/>
    <w:basedOn w:val="127"/>
    <w:next w:val="127"/>
    <w:qFormat/>
    <w:uiPriority w:val="0"/>
    <w:pPr>
      <w:spacing w:line="400" w:lineRule="atLeast"/>
    </w:pPr>
    <w:rPr>
      <w:rFonts w:ascii="宋体" w:hAnsi="Calibri" w:eastAsia="宋体" w:cs="Times New Roman"/>
      <w:color w:val="auto"/>
    </w:rPr>
  </w:style>
  <w:style w:type="paragraph" w:customStyle="1" w:styleId="721">
    <w:name w:val="CM102"/>
    <w:basedOn w:val="127"/>
    <w:next w:val="127"/>
    <w:qFormat/>
    <w:uiPriority w:val="0"/>
    <w:rPr>
      <w:rFonts w:ascii="宋体" w:hAnsi="Calibri" w:eastAsia="宋体" w:cs="Times New Roman"/>
      <w:color w:val="auto"/>
    </w:rPr>
  </w:style>
  <w:style w:type="paragraph" w:customStyle="1" w:styleId="722">
    <w:name w:val="CM89"/>
    <w:basedOn w:val="127"/>
    <w:next w:val="127"/>
    <w:qFormat/>
    <w:uiPriority w:val="0"/>
    <w:pPr>
      <w:spacing w:line="440" w:lineRule="atLeast"/>
    </w:pPr>
    <w:rPr>
      <w:rFonts w:ascii="宋体" w:hAnsi="Calibri" w:eastAsia="宋体" w:cs="Times New Roman"/>
      <w:color w:val="auto"/>
    </w:rPr>
  </w:style>
  <w:style w:type="paragraph" w:customStyle="1" w:styleId="723">
    <w:name w:val="CM116"/>
    <w:basedOn w:val="127"/>
    <w:next w:val="127"/>
    <w:qFormat/>
    <w:uiPriority w:val="0"/>
    <w:rPr>
      <w:rFonts w:ascii="宋体" w:hAnsi="Calibri" w:eastAsia="宋体" w:cs="Times New Roman"/>
      <w:color w:val="auto"/>
    </w:rPr>
  </w:style>
  <w:style w:type="paragraph" w:customStyle="1" w:styleId="72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725">
    <w:name w:val="CM9"/>
    <w:basedOn w:val="127"/>
    <w:next w:val="127"/>
    <w:qFormat/>
    <w:uiPriority w:val="0"/>
    <w:pPr>
      <w:spacing w:line="400" w:lineRule="atLeast"/>
    </w:pPr>
    <w:rPr>
      <w:rFonts w:ascii="宋体" w:hAnsi="Calibri" w:eastAsia="宋体" w:cs="Times New Roman"/>
      <w:color w:val="auto"/>
    </w:rPr>
  </w:style>
  <w:style w:type="paragraph" w:customStyle="1" w:styleId="726">
    <w:name w:val="CM21"/>
    <w:basedOn w:val="127"/>
    <w:next w:val="127"/>
    <w:qFormat/>
    <w:uiPriority w:val="0"/>
    <w:pPr>
      <w:spacing w:line="400" w:lineRule="atLeast"/>
    </w:pPr>
    <w:rPr>
      <w:rFonts w:ascii="宋体" w:hAnsi="Calibri" w:eastAsia="宋体" w:cs="Times New Roman"/>
      <w:color w:val="auto"/>
    </w:rPr>
  </w:style>
  <w:style w:type="paragraph" w:customStyle="1" w:styleId="727">
    <w:name w:val="CM1"/>
    <w:basedOn w:val="127"/>
    <w:next w:val="127"/>
    <w:qFormat/>
    <w:uiPriority w:val="0"/>
    <w:rPr>
      <w:rFonts w:ascii="宋体" w:hAnsi="Calibri" w:eastAsia="宋体" w:cs="Times New Roman"/>
      <w:color w:val="auto"/>
    </w:rPr>
  </w:style>
  <w:style w:type="paragraph" w:customStyle="1" w:styleId="728">
    <w:name w:val="CM16"/>
    <w:basedOn w:val="127"/>
    <w:next w:val="127"/>
    <w:qFormat/>
    <w:uiPriority w:val="0"/>
    <w:pPr>
      <w:spacing w:line="440" w:lineRule="atLeast"/>
    </w:pPr>
    <w:rPr>
      <w:rFonts w:ascii="宋体" w:hAnsi="Calibri" w:eastAsia="宋体" w:cs="Times New Roman"/>
      <w:color w:val="auto"/>
    </w:rPr>
  </w:style>
  <w:style w:type="paragraph" w:customStyle="1" w:styleId="729">
    <w:name w:val="+列表1"/>
    <w:basedOn w:val="1"/>
    <w:qFormat/>
    <w:uiPriority w:val="0"/>
    <w:pPr>
      <w:jc w:val="center"/>
    </w:pPr>
  </w:style>
  <w:style w:type="paragraph" w:customStyle="1" w:styleId="730">
    <w:name w:val="CM50"/>
    <w:basedOn w:val="127"/>
    <w:next w:val="127"/>
    <w:qFormat/>
    <w:uiPriority w:val="0"/>
    <w:rPr>
      <w:rFonts w:ascii="宋体" w:hAnsi="Calibri" w:eastAsia="宋体" w:cs="Times New Roman"/>
      <w:color w:val="auto"/>
    </w:rPr>
  </w:style>
  <w:style w:type="paragraph" w:customStyle="1" w:styleId="731">
    <w:name w:val="CM10"/>
    <w:basedOn w:val="127"/>
    <w:next w:val="127"/>
    <w:qFormat/>
    <w:uiPriority w:val="0"/>
    <w:rPr>
      <w:rFonts w:ascii="宋体" w:hAnsi="Calibri" w:eastAsia="宋体" w:cs="Times New Roman"/>
      <w:color w:val="auto"/>
    </w:rPr>
  </w:style>
  <w:style w:type="paragraph" w:customStyle="1" w:styleId="732">
    <w:name w:val="CM37"/>
    <w:basedOn w:val="127"/>
    <w:next w:val="127"/>
    <w:qFormat/>
    <w:uiPriority w:val="0"/>
    <w:rPr>
      <w:rFonts w:ascii="宋体" w:hAnsi="Calibri" w:eastAsia="宋体" w:cs="Times New Roman"/>
      <w:color w:val="auto"/>
    </w:rPr>
  </w:style>
  <w:style w:type="paragraph" w:customStyle="1" w:styleId="733">
    <w:name w:val="书籍标题2"/>
    <w:basedOn w:val="1"/>
    <w:qFormat/>
    <w:uiPriority w:val="0"/>
    <w:pPr>
      <w:autoSpaceDE w:val="0"/>
      <w:autoSpaceDN w:val="0"/>
      <w:adjustRightInd w:val="0"/>
      <w:ind w:left="200" w:leftChars="200"/>
      <w:jc w:val="left"/>
    </w:pPr>
    <w:rPr>
      <w:rFonts w:ascii="楷体_GB2312" w:eastAsia="楷体_GB2312"/>
      <w:kern w:val="0"/>
      <w:szCs w:val="20"/>
      <w:lang w:val="zh-CN"/>
    </w:rPr>
  </w:style>
  <w:style w:type="paragraph" w:customStyle="1" w:styleId="734">
    <w:name w:val="CM46"/>
    <w:basedOn w:val="127"/>
    <w:next w:val="127"/>
    <w:qFormat/>
    <w:uiPriority w:val="0"/>
    <w:pPr>
      <w:spacing w:line="440" w:lineRule="atLeast"/>
    </w:pPr>
    <w:rPr>
      <w:rFonts w:ascii="宋体" w:hAnsi="Calibri" w:eastAsia="宋体" w:cs="Times New Roman"/>
      <w:color w:val="auto"/>
    </w:rPr>
  </w:style>
  <w:style w:type="paragraph" w:customStyle="1" w:styleId="735">
    <w:name w:val="样式1-标题1"/>
    <w:basedOn w:val="1"/>
    <w:next w:val="1"/>
    <w:qFormat/>
    <w:uiPriority w:val="0"/>
    <w:pPr>
      <w:spacing w:beforeLines="100" w:afterLines="100"/>
      <w:jc w:val="center"/>
      <w:outlineLvl w:val="0"/>
    </w:pPr>
    <w:rPr>
      <w:rFonts w:ascii="华文中宋" w:hAnsi="华文中宋" w:eastAsia="华文中宋"/>
      <w:b/>
      <w:sz w:val="36"/>
    </w:rPr>
  </w:style>
  <w:style w:type="paragraph" w:customStyle="1" w:styleId="736">
    <w:name w:val="样式1-正文-缩进-加粗"/>
    <w:basedOn w:val="1"/>
    <w:qFormat/>
    <w:uiPriority w:val="0"/>
    <w:pPr>
      <w:spacing w:line="360" w:lineRule="auto"/>
      <w:ind w:firstLine="482"/>
    </w:pPr>
    <w:rPr>
      <w:b/>
      <w:bCs/>
      <w:sz w:val="24"/>
    </w:rPr>
  </w:style>
  <w:style w:type="paragraph" w:customStyle="1" w:styleId="737">
    <w:name w:val="Char Char Char Char Char Char Char"/>
    <w:basedOn w:val="1"/>
    <w:qFormat/>
    <w:uiPriority w:val="0"/>
    <w:pPr>
      <w:widowControl/>
      <w:spacing w:after="160" w:line="240" w:lineRule="exact"/>
      <w:jc w:val="left"/>
    </w:pPr>
  </w:style>
  <w:style w:type="paragraph" w:customStyle="1" w:styleId="738">
    <w:name w:val="Char Char Char Char1 Char Char Char"/>
    <w:basedOn w:val="1"/>
    <w:qFormat/>
    <w:uiPriority w:val="0"/>
    <w:pPr>
      <w:spacing w:line="240" w:lineRule="atLeast"/>
      <w:ind w:left="420" w:firstLine="420"/>
    </w:pPr>
    <w:rPr>
      <w:kern w:val="0"/>
      <w:szCs w:val="21"/>
    </w:rPr>
  </w:style>
  <w:style w:type="paragraph" w:customStyle="1" w:styleId="739">
    <w:name w:val="Char31"/>
    <w:basedOn w:val="18"/>
    <w:qFormat/>
    <w:uiPriority w:val="0"/>
    <w:rPr>
      <w:rFonts w:ascii="Tahoma" w:hAnsi="Tahoma"/>
      <w:kern w:val="2"/>
      <w:shd w:val="clear" w:color="auto" w:fill="auto"/>
    </w:rPr>
  </w:style>
  <w:style w:type="paragraph" w:customStyle="1" w:styleId="740">
    <w:name w:val="_Style 5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1">
    <w:name w:val="7"/>
    <w:basedOn w:val="1"/>
    <w:qFormat/>
    <w:uiPriority w:val="0"/>
    <w:pPr>
      <w:widowControl/>
      <w:tabs>
        <w:tab w:val="left" w:pos="425"/>
      </w:tabs>
      <w:spacing w:beforeLines="100" w:after="160" w:line="240" w:lineRule="exact"/>
      <w:ind w:left="425" w:hanging="425"/>
      <w:jc w:val="left"/>
    </w:pPr>
    <w:rPr>
      <w:rFonts w:ascii="Verdana" w:hAnsi="Verdana" w:eastAsia="黑体"/>
      <w:kern w:val="0"/>
      <w:sz w:val="20"/>
      <w:szCs w:val="20"/>
      <w:lang w:eastAsia="en-US"/>
    </w:rPr>
  </w:style>
  <w:style w:type="paragraph" w:customStyle="1" w:styleId="742">
    <w:name w:val="列出段落5"/>
    <w:basedOn w:val="1"/>
    <w:qFormat/>
    <w:uiPriority w:val="0"/>
    <w:pPr>
      <w:ind w:firstLine="420" w:firstLineChars="200"/>
    </w:pPr>
    <w:rPr>
      <w:rFonts w:ascii="Calibri" w:hAnsi="Calibri" w:cs="Calibri"/>
      <w:szCs w:val="21"/>
    </w:rPr>
  </w:style>
  <w:style w:type="paragraph" w:customStyle="1" w:styleId="743">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4">
    <w:name w:val="Char Char Char Char3"/>
    <w:basedOn w:val="1"/>
    <w:qFormat/>
    <w:uiPriority w:val="0"/>
    <w:pPr>
      <w:spacing w:line="240" w:lineRule="atLeast"/>
      <w:ind w:left="420" w:firstLine="420"/>
    </w:pPr>
    <w:rPr>
      <w:kern w:val="0"/>
      <w:szCs w:val="21"/>
    </w:rPr>
  </w:style>
  <w:style w:type="paragraph" w:customStyle="1" w:styleId="745">
    <w:name w:val="Char Char Char4"/>
    <w:basedOn w:val="1"/>
    <w:qFormat/>
    <w:uiPriority w:val="0"/>
    <w:pPr>
      <w:spacing w:line="240" w:lineRule="atLeast"/>
      <w:ind w:left="420" w:firstLine="420"/>
    </w:pPr>
    <w:rPr>
      <w:kern w:val="0"/>
      <w:szCs w:val="21"/>
    </w:rPr>
  </w:style>
  <w:style w:type="paragraph" w:customStyle="1" w:styleId="746">
    <w:name w:val="_Style 27"/>
    <w:basedOn w:val="1"/>
    <w:next w:val="27"/>
    <w:qFormat/>
    <w:uiPriority w:val="0"/>
    <w:pPr>
      <w:adjustRightInd w:val="0"/>
      <w:ind w:left="420" w:right="33"/>
      <w:jc w:val="left"/>
      <w:textAlignment w:val="baseline"/>
    </w:pPr>
    <w:rPr>
      <w:kern w:val="0"/>
      <w:sz w:val="24"/>
      <w:szCs w:val="20"/>
    </w:rPr>
  </w:style>
  <w:style w:type="paragraph" w:customStyle="1" w:styleId="747">
    <w:name w:val="Char2 Char Char Char Char Char Char"/>
    <w:basedOn w:val="18"/>
    <w:qFormat/>
    <w:uiPriority w:val="0"/>
    <w:rPr>
      <w:rFonts w:ascii="Tahoma" w:hAnsi="Tahoma"/>
      <w:kern w:val="2"/>
      <w:shd w:val="clear" w:color="auto" w:fill="auto"/>
    </w:rPr>
  </w:style>
  <w:style w:type="paragraph" w:customStyle="1" w:styleId="748">
    <w:name w:val="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9">
    <w:name w:val="Char Char Char Char1 Char Char Char Char Char1 Char Char Char Char Char Char Char Char Char Char Char Char Char"/>
    <w:basedOn w:val="1"/>
    <w:qFormat/>
    <w:uiPriority w:val="0"/>
    <w:pPr>
      <w:spacing w:line="240" w:lineRule="atLeast"/>
      <w:ind w:left="420" w:firstLine="420"/>
    </w:pPr>
    <w:rPr>
      <w:kern w:val="0"/>
      <w:szCs w:val="21"/>
    </w:rPr>
  </w:style>
  <w:style w:type="table" w:customStyle="1" w:styleId="750">
    <w:name w:val="网格型1"/>
    <w:basedOn w:val="59"/>
    <w:qFormat/>
    <w:uiPriority w:val="0"/>
    <w:pPr>
      <w:widowControl w:val="0"/>
      <w:spacing w:line="360" w:lineRule="auto"/>
      <w:ind w:firstLine="200" w:firstLineChars="20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1">
    <w:name w:val="网格型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网格型 41"/>
    <w:basedOn w:val="59"/>
    <w:qFormat/>
    <w:uiPriority w:val="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753">
    <w:name w:val="网格型1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A7DC7-11A7-44FF-96E4-C43FC0BA0930}">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28044</Words>
  <Characters>28815</Characters>
  <Lines>254</Lines>
  <Paragraphs>71</Paragraphs>
  <TotalTime>1</TotalTime>
  <ScaleCrop>false</ScaleCrop>
  <LinksUpToDate>false</LinksUpToDate>
  <CharactersWithSpaces>31053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2020-05-09T07:24:00Z</dcterms:created>
  <dc:creator>云南招标股份有限公司</dc:creator>
  <cp:lastModifiedBy>杨旸</cp:lastModifiedBy>
  <cp:lastPrinted>2020-12-03T06:37:00Z</cp:lastPrinted>
  <dcterms:modified xsi:type="dcterms:W3CDTF">2020-12-15T09:51:41Z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